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15" w:type="dxa"/>
        <w:tblInd w:w="-612" w:type="dxa"/>
        <w:tblLayout w:type="fixed"/>
        <w:tblCellMar>
          <w:top w:w="0" w:type="dxa"/>
          <w:left w:w="108" w:type="dxa"/>
          <w:bottom w:w="0" w:type="dxa"/>
          <w:right w:w="108" w:type="dxa"/>
        </w:tblCellMar>
      </w:tblPr>
      <w:tblGrid>
        <w:gridCol w:w="780"/>
        <w:gridCol w:w="3720"/>
        <w:gridCol w:w="2880"/>
        <w:gridCol w:w="2535"/>
      </w:tblGrid>
      <w:tr>
        <w:tblPrEx>
          <w:tblCellMar>
            <w:top w:w="0" w:type="dxa"/>
            <w:left w:w="108" w:type="dxa"/>
            <w:bottom w:w="0" w:type="dxa"/>
            <w:right w:w="108" w:type="dxa"/>
          </w:tblCellMar>
        </w:tblPrEx>
        <w:trPr>
          <w:trHeight w:val="705" w:hRule="atLeast"/>
        </w:trPr>
        <w:tc>
          <w:tcPr>
            <w:tcW w:w="9915" w:type="dxa"/>
            <w:gridSpan w:val="4"/>
            <w:tcBorders>
              <w:top w:val="nil"/>
              <w:left w:val="nil"/>
              <w:bottom w:val="nil"/>
              <w:right w:val="nil"/>
            </w:tcBorders>
            <w:shd w:val="clear" w:color="auto" w:fill="auto"/>
            <w:vAlign w:val="center"/>
          </w:tcPr>
          <w:p>
            <w:pPr>
              <w:widowControl/>
              <w:jc w:val="center"/>
              <w:rPr>
                <w:rFonts w:hint="eastAsia" w:ascii="Courier New" w:hAnsi="Courier New" w:cs="Courier New"/>
                <w:b/>
                <w:bCs/>
                <w:kern w:val="0"/>
                <w:sz w:val="44"/>
                <w:szCs w:val="44"/>
              </w:rPr>
            </w:pPr>
            <w:r>
              <w:rPr>
                <w:rFonts w:hint="eastAsia" w:ascii="Courier New" w:hAnsi="Courier New" w:cs="Courier New"/>
                <w:b/>
                <w:bCs/>
                <w:kern w:val="0"/>
                <w:sz w:val="44"/>
                <w:szCs w:val="44"/>
              </w:rPr>
              <w:t>海口市人力资源和社会保障局</w:t>
            </w:r>
          </w:p>
          <w:p>
            <w:pPr>
              <w:widowControl/>
              <w:jc w:val="center"/>
              <w:rPr>
                <w:rFonts w:hint="eastAsia" w:ascii="Courier New" w:hAnsi="Courier New" w:cs="Courier New"/>
                <w:b/>
                <w:bCs/>
                <w:kern w:val="0"/>
                <w:sz w:val="44"/>
                <w:szCs w:val="44"/>
              </w:rPr>
            </w:pPr>
            <w:r>
              <w:rPr>
                <w:rFonts w:ascii="Courier New" w:hAnsi="Courier New" w:cs="Courier New"/>
                <w:b/>
                <w:bCs/>
                <w:kern w:val="0"/>
                <w:sz w:val="44"/>
                <w:szCs w:val="44"/>
              </w:rPr>
              <w:t>废止的规范性文件目录</w:t>
            </w:r>
            <w:r>
              <w:rPr>
                <w:rFonts w:hint="eastAsia" w:ascii="Courier New" w:hAnsi="Courier New" w:cs="Courier New"/>
                <w:b/>
                <w:bCs/>
                <w:kern w:val="0"/>
                <w:sz w:val="44"/>
                <w:szCs w:val="44"/>
              </w:rPr>
              <w:t>（42件）</w:t>
            </w:r>
          </w:p>
        </w:tc>
      </w:tr>
      <w:tr>
        <w:tblPrEx>
          <w:tblCellMar>
            <w:top w:w="0" w:type="dxa"/>
            <w:left w:w="108" w:type="dxa"/>
            <w:bottom w:w="0" w:type="dxa"/>
            <w:right w:w="108" w:type="dxa"/>
          </w:tblCellMar>
        </w:tblPrEx>
        <w:trPr>
          <w:trHeight w:val="555"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文件名称</w:t>
            </w:r>
          </w:p>
        </w:tc>
        <w:tc>
          <w:tcPr>
            <w:tcW w:w="2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文号</w:t>
            </w:r>
          </w:p>
        </w:tc>
        <w:tc>
          <w:tcPr>
            <w:tcW w:w="25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1</w:t>
            </w:r>
          </w:p>
        </w:tc>
        <w:tc>
          <w:tcPr>
            <w:tcW w:w="3720" w:type="dxa"/>
            <w:tcBorders>
              <w:top w:val="nil"/>
              <w:left w:val="nil"/>
              <w:bottom w:val="single" w:color="auto" w:sz="4" w:space="0"/>
              <w:right w:val="single" w:color="auto" w:sz="4" w:space="0"/>
            </w:tcBorders>
            <w:shd w:val="clear" w:color="auto" w:fill="auto"/>
            <w:vAlign w:val="center"/>
          </w:tcPr>
          <w:p>
            <w:pPr>
              <w:autoSpaceDN w:val="0"/>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海口市人事劳动保障局关于大中专院校毕业生和流动专业人员确认资格的通知</w:t>
            </w:r>
          </w:p>
        </w:tc>
        <w:tc>
          <w:tcPr>
            <w:tcW w:w="2880" w:type="dxa"/>
            <w:tcBorders>
              <w:top w:val="nil"/>
              <w:left w:val="nil"/>
              <w:bottom w:val="single" w:color="auto" w:sz="4" w:space="0"/>
              <w:right w:val="single" w:color="auto" w:sz="4" w:space="0"/>
            </w:tcBorders>
            <w:shd w:val="clear" w:color="auto" w:fill="auto"/>
            <w:vAlign w:val="center"/>
          </w:tcPr>
          <w:p>
            <w:pPr>
              <w:autoSpaceDN w:val="0"/>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海人劳保通〔2003〕1号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2</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 xml:space="preserve">海口市人力资源和社会保障局关于做好专业技术人员继续教育登记工作的通知 </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海人社发〔2013〕236号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3</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海口市人事劳动保障局关于印发《</w:t>
            </w:r>
            <w:r>
              <w:rPr>
                <w:kern w:val="0"/>
                <w:sz w:val="22"/>
                <w:szCs w:val="22"/>
              </w:rPr>
              <w:t>海口市职称量化考评工作方案》的通知</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海人劳保通〔2007〕140号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4</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海口市人力资源和社会保障局关于做好海口市非公经济组织职称工作的通知</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海人社发〔2013〕38号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5</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海口市人力资源和社会保障局 海口市财政局关于做好失业保险支持企业稳定岗位的通知</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海人社发〔2016〕323号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6</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海口市人力资源和社会保障局关于印发《海口市城镇居民基本医疗保险参保人社会保障卡发放工作方案》的通知</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海人社发〔2015〕2号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7</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textAlignment w:val="center"/>
              <w:rPr>
                <w:rFonts w:hint="eastAsia" w:ascii="宋体" w:hAnsi="宋体" w:cs="宋体"/>
                <w:kern w:val="0"/>
                <w:sz w:val="22"/>
                <w:szCs w:val="22"/>
              </w:rPr>
            </w:pPr>
            <w:r>
              <w:rPr>
                <w:rFonts w:hint="eastAsia" w:ascii="宋体" w:hAnsi="宋体" w:cs="宋体"/>
                <w:kern w:val="0"/>
                <w:sz w:val="22"/>
                <w:szCs w:val="22"/>
              </w:rPr>
              <w:t>海口市人力资源和社会保障局关于印发《海口市城镇从业人员社会保险参保人社会保障卡发放工作方案》的通知</w:t>
            </w:r>
          </w:p>
        </w:tc>
        <w:tc>
          <w:tcPr>
            <w:tcW w:w="2880"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hint="eastAsia" w:ascii="宋体" w:hAnsi="宋体" w:cs="宋体"/>
                <w:kern w:val="0"/>
                <w:sz w:val="22"/>
                <w:szCs w:val="22"/>
              </w:rPr>
            </w:pPr>
            <w:r>
              <w:rPr>
                <w:rFonts w:hint="eastAsia" w:ascii="宋体" w:hAnsi="宋体" w:cs="宋体"/>
                <w:kern w:val="0"/>
                <w:sz w:val="22"/>
                <w:szCs w:val="22"/>
              </w:rPr>
              <w:t>海人社发〔2015〕120号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75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海口市人力资源和社会保障局关于城镇居民基本医疗保险门诊特殊病种待遇有关问题的通知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海人社发〔2010〕55 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备案号：QHK-2010-13002</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82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海口市人力资源和社会保障局关于印发《海口市城镇居民基本医疗保险普通门诊统筹试行办法》的通知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海人社发〔2010〕224 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备案号：QHK-2010-13004</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607"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海口市劳动保障监察管辖的若干规定</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无</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备案号：QHK-2011-13002</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22"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海口市城镇居民基本医疗保险重大疾病待遇支付方案</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海人社发〔2011〕49 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备案号：QHK-2011-13003</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071"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  海口市地方税务局 海口市档案局关于印发《海口市社会保险业务档案管理办法》的通知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海人社发〔2011〕182号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备案号：QHK-2011-13006</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74"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海口市人力资源和社会保障局关于调整城镇居民医保待遇支付标准的通知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海人社发〔2012〕104号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备案号：QHK-2012-13002</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02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海口市人力资源和社会保障局关于调整海口市劳动保障监察管辖范围的通知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海人社发〔2012〕263号备案后以“海人社发〔2012〕274号”印发</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备案号：QHK-2012-13004</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88"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海口市人力资源和社会保障局关于提高居民医保保底报销比例的通知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海人社发〔2012〕140号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2"/>
                <w:szCs w:val="22"/>
              </w:rPr>
            </w:pPr>
            <w:r>
              <w:rPr>
                <w:rFonts w:hint="eastAsia" w:ascii="宋体" w:hAnsi="宋体" w:cs="宋体"/>
                <w:kern w:val="0"/>
                <w:sz w:val="22"/>
                <w:szCs w:val="22"/>
              </w:rPr>
              <w:t>备案号：QHK-2013-13003</w:t>
            </w:r>
          </w:p>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71"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海口市人事劳动保障局关于规范我市职称评审与核准工作程序的通知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海人劳保通〔2006〕60号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6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海口市人事劳动保障局关于按规范程序审核和报送流动专业技术人员职称确认材料的通知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海人劳保通〔2006〕30号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62"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海口市人事劳动保障局关于印发《海口市实行专业技术职务竞聘上岗的实施意见》的通知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海人劳保通〔2006〕28号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617"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19</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海口市人事劳动保障局关于规范我市职称评聘手续办理程序的通知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海人劳保通〔2007〕40号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2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20</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海口市人事劳动保障局关于发放初级专业技术资格证书有关问题的补充通知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海人劳保通〔2007〕153号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1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21</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海口市人力资源和社会保障局关于印发《海口市专业技术人才知识更新和综合素质提升工程实施方案》的通知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海人社发〔2011〕244号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0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22</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海口市人力资源和社会保障局关于开展我市专业技术人员继续教育的通知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海人社发〔2012〕48号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693"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23</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海口市人力资源和社会保障局关于印发《海口市人力资源服务机构诚信体系建设实施方案》的通知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海人社发〔2012〕240号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69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24</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海口市人力资源和社会保障局关于做好我市专业技术人员继续教育工作的通知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海人社发〔2014〕37号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78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25</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海口市人力资源和社会保障局关于做好专业技术人员专业科目继续教育工作的通知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海人社发〔2015〕69号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3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26</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海口市人事劳动保障局关于公布海口市部分工种（岗位）劳动力市场工资指导价位的通知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海人劳保通〔2006〕82号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0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27</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海口市人事劳动保障局关于公布海口市部分工种（岗位）劳动力市场工资指导价位的通知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海人劳保通〔2007〕127号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88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28</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海口市人事劳动保障局关于公布海口市2009年企业部分工种（岗位）劳动力市场工资指导价位的通知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海人劳保通〔2009〕144号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0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29</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海口市人力资源和社会保障局关于公布海口市2010年企业部分工种（岗位）劳动力市场工资指导价位的通知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海人社发〔2010〕110号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88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30</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海口市人力资源和社会保障局关于公布海口市2011企业部分工种（岗位）劳动力市场工资指导价位的通知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海人社发〔2011〕125号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9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31</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海口市人力资源和社会保障局关于公布海口市2012年企业部分工种（岗位）劳动力市场工资指导价位的通知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海人社发〔2012〕108号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3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w:t>
            </w:r>
            <w:r>
              <w:rPr>
                <w:rFonts w:hint="eastAsia" w:ascii="宋体" w:hAnsi="宋体" w:cs="宋体"/>
                <w:kern w:val="0"/>
                <w:sz w:val="22"/>
                <w:szCs w:val="22"/>
                <w:lang w:eastAsia="zh-CN"/>
              </w:rPr>
              <w:t>人力资源和社会保障局</w:t>
            </w:r>
            <w:bookmarkStart w:id="0" w:name="_GoBack"/>
            <w:bookmarkEnd w:id="0"/>
            <w:r>
              <w:rPr>
                <w:rFonts w:hint="eastAsia" w:ascii="宋体" w:hAnsi="宋体" w:cs="宋体"/>
                <w:kern w:val="0"/>
                <w:sz w:val="22"/>
                <w:szCs w:val="22"/>
              </w:rPr>
              <w:t>关于公布海口市2013年企业部分工种（岗位）劳动力市场工资指导价位的通知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海人社发〔2013〕120号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1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33</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海口市人力资源和社会保障局关于公布海口市2014年企业部分工种（岗位）劳动力市场工资指导价位的通知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海人社发〔2014〕89号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0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34</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海口市人力资源和社会保障局关于公布海口市2015年企业部分工种（岗位）劳动力市场工资指导价位的通知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海人社发〔2015〕127号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7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35</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海口市人力资源和社会保障局关于公布海口市2016年企业部分工种（岗位）劳动力市场工资指导价位的通知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海人社发〔2016〕163号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081"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36</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海口市人力资源和社会保障局关于印发《海口市劳动保障“红黑名单”发布规定》的通知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海人社发〔2016〕170号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23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37</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海口市人事劳动保障局、海口市建设局、中国建设银行海口市南航支行《关于贯彻实施《关于建立建设领域农民工工资保证金制度的通知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海人劳保通〔2005〕7号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42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38</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 海口市水务局 中国建设银行海口市南航支行关于贯彻实施《关于建立水利水电工程项目农民工工资保证金制度的通知》的通知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海人社发〔2010〕70号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57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39</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 海口市交通运输和港行管理局 中国建设银行海口市南航支行关于贯彻实施《关于建立交通运输行业农民工工资保证金制度的通知》的通知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海人社发〔2010〕71号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0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40</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海口市人力资源和社会保障局关于做好城镇居民医保应参保人数核定工作的通知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海人社发〔2017〕4 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1245"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41</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  海口市教育局  海口市地方税务局关于做好2016年度在校（园）生 参加城镇居民基本医疗保险工作的通知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海人社发〔2015〕207号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r>
        <w:tblPrEx>
          <w:tblCellMar>
            <w:top w:w="0" w:type="dxa"/>
            <w:left w:w="108" w:type="dxa"/>
            <w:bottom w:w="0" w:type="dxa"/>
            <w:right w:w="108" w:type="dxa"/>
          </w:tblCellMar>
        </w:tblPrEx>
        <w:trPr>
          <w:trHeight w:val="99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42</w:t>
            </w:r>
          </w:p>
        </w:tc>
        <w:tc>
          <w:tcPr>
            <w:tcW w:w="37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海口市人力资源和社会保障局 海口市财政局关于明确困难企业“三项补贴”申办程序的通知</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海人社发〔2010〕150号</w:t>
            </w:r>
          </w:p>
        </w:tc>
        <w:tc>
          <w:tcPr>
            <w:tcW w:w="25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2017年4月7日已公布废止。</w:t>
            </w:r>
          </w:p>
        </w:tc>
      </w:tr>
    </w:tbl>
    <w:p>
      <w:pPr>
        <w:rPr>
          <w:rFonts w:hint="eastAsia" w:ascii="仿宋_GB2312" w:hAnsi="宋体" w:eastAsia="仿宋_GB2312"/>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5</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B1A65"/>
    <w:rsid w:val="1F8A3B95"/>
    <w:rsid w:val="499B1A65"/>
    <w:rsid w:val="5B875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2017-08-04T03:44:00Z</dcterms:created>
  <dc:creator>Administrator</dc:creator>
  <cp:lastModifiedBy>Administrator</cp:lastModifiedBy>
  <dcterms:modified xsi:type="dcterms:W3CDTF">2021-06-09T09:13:38Z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8E0F277690634FE1B1288EEACDF4C142</vt:lpwstr>
  </property>
</Properties>
</file>