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eastAsia="zh-CN"/>
        </w:rPr>
        <w:t>新能源汽车清洗与</w:t>
      </w:r>
      <w:r>
        <w:rPr>
          <w:rFonts w:hint="eastAsia" w:asciiTheme="minorEastAsia" w:hAnsiTheme="minorEastAsia" w:eastAsiaTheme="minorEastAsia"/>
          <w:b/>
          <w:bCs/>
          <w:sz w:val="32"/>
          <w:szCs w:val="32"/>
        </w:rPr>
        <w:t>美容</w:t>
      </w:r>
    </w:p>
    <w:p>
      <w:pPr>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专项职业能力培训标准</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一、培训标准</w:t>
      </w:r>
    </w:p>
    <w:p>
      <w:pPr>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lang w:val="en-US" w:eastAsia="zh-CN"/>
        </w:rPr>
        <w:t>通过理论与实操相结合的授课方式，使培训学员了解新能源汽车清洗注意事项和新能源汽车美容注意事项。通过对新能源汽车相关清洗项目和美容项目的操作练习，使培训学员达到新能源汽车清洗与美容的能力培训要求，促进新能源汽车行业清洁与保养水平的提高，提升培训学员的就业能力。</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二、培训机构的师资条件</w:t>
      </w:r>
    </w:p>
    <w:p>
      <w:pPr>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lang w:val="en-US" w:eastAsia="zh-CN"/>
        </w:rPr>
        <w:t>培训老师</w:t>
      </w:r>
      <w:r>
        <w:rPr>
          <w:rFonts w:hint="eastAsia" w:asciiTheme="majorEastAsia" w:hAnsiTheme="majorEastAsia" w:eastAsiaTheme="majorEastAsia"/>
          <w:bCs/>
          <w:sz w:val="24"/>
          <w:szCs w:val="24"/>
          <w:lang w:val="zh-CN" w:eastAsia="zh-CN"/>
        </w:rPr>
        <w:t>应具备</w:t>
      </w:r>
      <w:r>
        <w:rPr>
          <w:rFonts w:hint="eastAsia" w:asciiTheme="majorEastAsia" w:hAnsiTheme="majorEastAsia" w:eastAsiaTheme="majorEastAsia"/>
          <w:bCs/>
          <w:sz w:val="24"/>
          <w:szCs w:val="24"/>
          <w:lang w:val="en-US" w:eastAsia="zh-CN"/>
        </w:rPr>
        <w:t>汽车维修工高级工以上职业资格证书（技能等级证书）或相关专业中级（含）以上专业技术职称任职资格</w:t>
      </w:r>
      <w:r>
        <w:rPr>
          <w:rFonts w:hint="eastAsia" w:asciiTheme="majorEastAsia" w:hAnsiTheme="majorEastAsia" w:eastAsiaTheme="majorEastAsia"/>
          <w:bCs/>
          <w:sz w:val="24"/>
          <w:szCs w:val="24"/>
          <w:lang w:val="zh-CN" w:eastAsia="zh-CN"/>
        </w:rPr>
        <w:t>，</w:t>
      </w:r>
      <w:r>
        <w:rPr>
          <w:rFonts w:hint="eastAsia" w:asciiTheme="majorEastAsia" w:hAnsiTheme="majorEastAsia" w:eastAsiaTheme="majorEastAsia"/>
          <w:bCs/>
          <w:sz w:val="24"/>
          <w:szCs w:val="24"/>
          <w:lang w:val="en-US" w:eastAsia="zh-CN"/>
        </w:rPr>
        <w:t>具有低压电工操作证。</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三、培训场地</w:t>
      </w:r>
    </w:p>
    <w:p>
      <w:pPr>
        <w:spacing w:after="0" w:line="360" w:lineRule="auto"/>
        <w:ind w:firstLine="480" w:firstLineChars="200"/>
        <w:rPr>
          <w:rFonts w:ascii="仿宋_GB2312" w:hAnsi="仿宋_GB2312" w:eastAsia="仿宋_GB2312"/>
          <w:sz w:val="32"/>
        </w:rPr>
      </w:pPr>
      <w:r>
        <w:rPr>
          <w:rFonts w:hint="eastAsia" w:asciiTheme="majorEastAsia" w:hAnsiTheme="majorEastAsia" w:eastAsiaTheme="majorEastAsia"/>
          <w:bCs/>
          <w:sz w:val="24"/>
          <w:szCs w:val="24"/>
        </w:rPr>
        <w:t>教学场地（以下同时具备）：</w:t>
      </w:r>
    </w:p>
    <w:p>
      <w:pPr>
        <w:spacing w:after="0" w:line="360" w:lineRule="auto"/>
        <w:ind w:left="480"/>
        <w:rPr>
          <w:rFonts w:asciiTheme="majorEastAsia" w:hAnsiTheme="majorEastAsia" w:eastAsiaTheme="majorEastAsia"/>
          <w:bCs/>
          <w:sz w:val="24"/>
          <w:szCs w:val="24"/>
        </w:rPr>
      </w:pPr>
      <w:r>
        <w:rPr>
          <w:rFonts w:hint="eastAsia" w:asciiTheme="majorEastAsia" w:hAnsiTheme="majorEastAsia" w:eastAsiaTheme="majorEastAsia"/>
          <w:bCs/>
          <w:sz w:val="24"/>
          <w:szCs w:val="24"/>
        </w:rPr>
        <w:t>1</w:t>
      </w:r>
      <w:r>
        <w:rPr>
          <w:rFonts w:asciiTheme="majorEastAsia" w:hAnsiTheme="majorEastAsia" w:eastAsiaTheme="majorEastAsia"/>
          <w:bCs/>
          <w:sz w:val="24"/>
          <w:szCs w:val="24"/>
        </w:rPr>
        <w:t>.</w:t>
      </w:r>
      <w:r>
        <w:rPr>
          <w:rFonts w:hint="eastAsia" w:asciiTheme="majorEastAsia" w:hAnsiTheme="majorEastAsia" w:eastAsiaTheme="majorEastAsia"/>
          <w:bCs/>
          <w:sz w:val="24"/>
          <w:szCs w:val="24"/>
        </w:rPr>
        <w:t>理论教室需能够同时容纳30人以上，配套不少于30套桌椅。</w:t>
      </w:r>
    </w:p>
    <w:p>
      <w:pPr>
        <w:spacing w:line="360" w:lineRule="auto"/>
        <w:jc w:val="left"/>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lang w:val="en-US" w:eastAsia="zh-CN"/>
        </w:rPr>
        <w:t xml:space="preserve">    </w:t>
      </w:r>
      <w:r>
        <w:rPr>
          <w:rFonts w:hint="eastAsia" w:asciiTheme="majorEastAsia" w:hAnsiTheme="majorEastAsia" w:eastAsiaTheme="majorEastAsia"/>
          <w:bCs/>
          <w:sz w:val="24"/>
          <w:szCs w:val="24"/>
        </w:rPr>
        <w:t>2.实训场地面积不小于</w:t>
      </w:r>
      <w:r>
        <w:rPr>
          <w:rFonts w:hint="eastAsia" w:asciiTheme="majorEastAsia" w:hAnsiTheme="majorEastAsia" w:eastAsiaTheme="majorEastAsia"/>
          <w:bCs/>
          <w:sz w:val="24"/>
          <w:szCs w:val="24"/>
          <w:lang w:val="en-US" w:eastAsia="zh-CN"/>
        </w:rPr>
        <w:t>200</w:t>
      </w:r>
      <w:r>
        <w:rPr>
          <w:rFonts w:hint="eastAsia" w:asciiTheme="majorEastAsia" w:hAnsiTheme="majorEastAsia" w:eastAsiaTheme="majorEastAsia"/>
          <w:bCs/>
          <w:sz w:val="24"/>
          <w:szCs w:val="24"/>
        </w:rPr>
        <w:t>平方米，并配备以下设备设施：新能源汽车</w:t>
      </w:r>
      <w:r>
        <w:rPr>
          <w:rFonts w:hint="eastAsia" w:asciiTheme="majorEastAsia" w:hAnsiTheme="majorEastAsia" w:eastAsiaTheme="majorEastAsia"/>
          <w:bCs/>
          <w:sz w:val="24"/>
          <w:szCs w:val="24"/>
          <w:lang w:val="en-US" w:eastAsia="zh-CN"/>
        </w:rPr>
        <w:t>2辆；</w:t>
      </w:r>
      <w:r>
        <w:rPr>
          <w:rFonts w:hint="eastAsia" w:asciiTheme="majorEastAsia" w:hAnsiTheme="majorEastAsia" w:eastAsiaTheme="majorEastAsia"/>
          <w:bCs/>
          <w:sz w:val="24"/>
          <w:szCs w:val="24"/>
        </w:rPr>
        <w:t>自动卷管洗车机</w:t>
      </w:r>
      <w:r>
        <w:rPr>
          <w:rFonts w:hint="eastAsia" w:asciiTheme="majorEastAsia" w:hAnsiTheme="majorEastAsia" w:eastAsiaTheme="majorEastAsia"/>
          <w:bCs/>
          <w:sz w:val="24"/>
          <w:szCs w:val="24"/>
          <w:lang w:val="en-US" w:eastAsia="zh-CN"/>
        </w:rPr>
        <w:t>2台；新能源汽车清洗用品套装2套</w:t>
      </w:r>
      <w:r>
        <w:rPr>
          <w:rFonts w:hint="eastAsia" w:asciiTheme="majorEastAsia" w:hAnsiTheme="majorEastAsia" w:eastAsiaTheme="majorEastAsia"/>
          <w:bCs/>
          <w:sz w:val="24"/>
          <w:szCs w:val="24"/>
          <w:lang w:eastAsia="zh-CN"/>
        </w:rPr>
        <w:t>；</w:t>
      </w:r>
      <w:r>
        <w:rPr>
          <w:rFonts w:hint="eastAsia" w:asciiTheme="majorEastAsia" w:hAnsiTheme="majorEastAsia" w:eastAsiaTheme="majorEastAsia"/>
          <w:bCs/>
          <w:sz w:val="24"/>
          <w:szCs w:val="24"/>
          <w:lang w:val="en-US" w:eastAsia="zh-CN"/>
        </w:rPr>
        <w:t>新能源汽车美容用品套装2套</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高压绝缘安全工具3套</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高压安全防护用品3套</w:t>
      </w:r>
      <w:r>
        <w:rPr>
          <w:rFonts w:hint="eastAsia" w:asciiTheme="majorEastAsia" w:hAnsiTheme="majorEastAsia" w:eastAsiaTheme="majorEastAsia"/>
          <w:bCs/>
          <w:sz w:val="24"/>
          <w:szCs w:val="24"/>
        </w:rPr>
        <w:t>。</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四、培训课时</w:t>
      </w:r>
    </w:p>
    <w:p>
      <w:pPr>
        <w:shd w:val="clear" w:color="auto" w:fill="FFFFFF"/>
        <w:spacing w:after="0" w:line="360" w:lineRule="auto"/>
        <w:ind w:firstLine="480" w:firstLineChars="200"/>
        <w:rPr>
          <w:rFonts w:asciiTheme="majorEastAsia" w:hAnsiTheme="majorEastAsia" w:eastAsiaTheme="majorEastAsia"/>
          <w:bCs/>
          <w:sz w:val="24"/>
          <w:szCs w:val="24"/>
        </w:rPr>
      </w:pPr>
      <w:r>
        <w:rPr>
          <w:rFonts w:hint="eastAsia" w:asciiTheme="majorEastAsia" w:hAnsiTheme="majorEastAsia" w:eastAsiaTheme="majorEastAsia"/>
          <w:bCs/>
          <w:sz w:val="24"/>
          <w:szCs w:val="24"/>
        </w:rPr>
        <w:t>培训总课时6</w:t>
      </w:r>
      <w:r>
        <w:rPr>
          <w:rFonts w:hint="eastAsia" w:asciiTheme="majorEastAsia" w:hAnsiTheme="majorEastAsia" w:eastAsiaTheme="majorEastAsia"/>
          <w:bCs/>
          <w:sz w:val="24"/>
          <w:szCs w:val="24"/>
          <w:lang w:val="en-US" w:eastAsia="zh-CN"/>
        </w:rPr>
        <w:t>5</w:t>
      </w:r>
      <w:r>
        <w:rPr>
          <w:rFonts w:hint="eastAsia" w:asciiTheme="majorEastAsia" w:hAnsiTheme="majorEastAsia" w:eastAsiaTheme="majorEastAsia"/>
          <w:bCs/>
          <w:sz w:val="24"/>
          <w:szCs w:val="24"/>
        </w:rPr>
        <w:t xml:space="preserve"> 课时，其中理论课</w:t>
      </w:r>
      <w:r>
        <w:rPr>
          <w:rFonts w:hint="eastAsia" w:asciiTheme="majorEastAsia" w:hAnsiTheme="majorEastAsia" w:eastAsiaTheme="majorEastAsia"/>
          <w:bCs/>
          <w:sz w:val="24"/>
          <w:szCs w:val="24"/>
          <w:lang w:val="en-US" w:eastAsia="zh-CN"/>
        </w:rPr>
        <w:t>10</w:t>
      </w:r>
      <w:r>
        <w:rPr>
          <w:rFonts w:hint="eastAsia" w:asciiTheme="majorEastAsia" w:hAnsiTheme="majorEastAsia" w:eastAsiaTheme="majorEastAsia"/>
          <w:bCs/>
          <w:sz w:val="24"/>
          <w:szCs w:val="24"/>
        </w:rPr>
        <w:t>课时，实操课</w:t>
      </w:r>
      <w:r>
        <w:rPr>
          <w:rFonts w:hint="eastAsia" w:asciiTheme="majorEastAsia" w:hAnsiTheme="majorEastAsia" w:eastAsiaTheme="majorEastAsia"/>
          <w:bCs/>
          <w:sz w:val="24"/>
          <w:szCs w:val="24"/>
          <w:lang w:val="en-US" w:eastAsia="zh-CN"/>
        </w:rPr>
        <w:t>55</w:t>
      </w:r>
      <w:bookmarkStart w:id="0" w:name="_GoBack"/>
      <w:bookmarkEnd w:id="0"/>
      <w:r>
        <w:rPr>
          <w:rFonts w:hint="eastAsia" w:asciiTheme="majorEastAsia" w:hAnsiTheme="majorEastAsia" w:eastAsiaTheme="majorEastAsia"/>
          <w:bCs/>
          <w:sz w:val="24"/>
          <w:szCs w:val="24"/>
        </w:rPr>
        <w:t>课时。</w:t>
      </w:r>
    </w:p>
    <w:p>
      <w:pPr>
        <w:spacing w:after="0" w:line="360" w:lineRule="auto"/>
        <w:ind w:firstLine="562" w:firstLineChars="200"/>
        <w:rPr>
          <w:rFonts w:asciiTheme="majorEastAsia" w:hAnsiTheme="majorEastAsia" w:eastAsiaTheme="majorEastAsia"/>
          <w:b/>
          <w:bCs/>
          <w:sz w:val="28"/>
          <w:szCs w:val="28"/>
        </w:rPr>
      </w:pPr>
      <w:r>
        <w:rPr>
          <w:rFonts w:hint="eastAsia" w:asciiTheme="majorEastAsia" w:hAnsiTheme="majorEastAsia" w:eastAsiaTheme="majorEastAsia"/>
          <w:b/>
          <w:bCs/>
          <w:sz w:val="28"/>
          <w:szCs w:val="28"/>
        </w:rPr>
        <w:t>五、参考教材选荐</w:t>
      </w:r>
    </w:p>
    <w:p>
      <w:pPr>
        <w:shd w:val="clear" w:color="auto" w:fill="FFFFFF"/>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rPr>
        <w:t xml:space="preserve">1. </w:t>
      </w:r>
      <w:r>
        <w:rPr>
          <w:rFonts w:hint="eastAsia" w:asciiTheme="majorEastAsia" w:hAnsiTheme="majorEastAsia" w:eastAsiaTheme="majorEastAsia"/>
          <w:bCs/>
          <w:sz w:val="24"/>
          <w:szCs w:val="24"/>
          <w:lang w:val="en-US" w:eastAsia="zh-CN"/>
        </w:rPr>
        <w:t>侯迪.</w:t>
      </w:r>
      <w:r>
        <w:rPr>
          <w:rFonts w:hint="eastAsia" w:asciiTheme="majorEastAsia" w:hAnsiTheme="majorEastAsia" w:eastAsiaTheme="majorEastAsia"/>
          <w:bCs/>
          <w:sz w:val="24"/>
          <w:szCs w:val="24"/>
        </w:rPr>
        <w:t>新能源汽车</w:t>
      </w:r>
      <w:r>
        <w:rPr>
          <w:rFonts w:hint="eastAsia" w:asciiTheme="majorEastAsia" w:hAnsiTheme="majorEastAsia" w:eastAsiaTheme="majorEastAsia"/>
          <w:bCs/>
          <w:sz w:val="24"/>
          <w:szCs w:val="24"/>
          <w:lang w:val="en-US" w:eastAsia="zh-CN"/>
        </w:rPr>
        <w:t>维护与保养[M].北京:中国轻工业</w:t>
      </w:r>
      <w:r>
        <w:rPr>
          <w:rFonts w:hint="eastAsia" w:asciiTheme="majorEastAsia" w:hAnsiTheme="majorEastAsia" w:eastAsiaTheme="majorEastAsia"/>
          <w:bCs/>
          <w:sz w:val="24"/>
          <w:szCs w:val="24"/>
        </w:rPr>
        <w:t>出版社</w:t>
      </w:r>
      <w:r>
        <w:rPr>
          <w:rFonts w:hint="eastAsia" w:asciiTheme="majorEastAsia" w:hAnsiTheme="majorEastAsia" w:eastAsiaTheme="majorEastAsia"/>
          <w:bCs/>
          <w:sz w:val="24"/>
          <w:szCs w:val="24"/>
          <w:lang w:val="en-US" w:eastAsia="zh-CN"/>
        </w:rPr>
        <w:t>,</w:t>
      </w:r>
      <w:r>
        <w:rPr>
          <w:rFonts w:hint="eastAsia" w:asciiTheme="majorEastAsia" w:hAnsiTheme="majorEastAsia" w:eastAsiaTheme="majorEastAsia"/>
          <w:bCs/>
          <w:sz w:val="24"/>
          <w:szCs w:val="24"/>
        </w:rPr>
        <w:t>202</w:t>
      </w:r>
      <w:r>
        <w:rPr>
          <w:rFonts w:hint="eastAsia" w:asciiTheme="majorEastAsia" w:hAnsiTheme="majorEastAsia" w:eastAsiaTheme="majorEastAsia"/>
          <w:bCs/>
          <w:sz w:val="24"/>
          <w:szCs w:val="24"/>
          <w:lang w:val="en-US" w:eastAsia="zh-CN"/>
        </w:rPr>
        <w:t>3.</w:t>
      </w:r>
    </w:p>
    <w:p>
      <w:pPr>
        <w:shd w:val="clear" w:color="auto" w:fill="FFFFFF"/>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lang w:val="en-US" w:eastAsia="zh-CN"/>
        </w:rPr>
        <w:t>2</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 xml:space="preserve"> </w:t>
      </w:r>
      <w:r>
        <w:rPr>
          <w:rFonts w:hint="default" w:asciiTheme="majorEastAsia" w:hAnsiTheme="majorEastAsia" w:eastAsiaTheme="majorEastAsia"/>
          <w:bCs/>
          <w:sz w:val="24"/>
          <w:szCs w:val="24"/>
          <w:lang w:val="en-US" w:eastAsia="zh-CN"/>
        </w:rPr>
        <w:t>房宏威</w:t>
      </w:r>
      <w:r>
        <w:rPr>
          <w:rFonts w:hint="eastAsia" w:asciiTheme="majorEastAsia" w:hAnsiTheme="majorEastAsia" w:eastAsiaTheme="majorEastAsia"/>
          <w:bCs/>
          <w:sz w:val="24"/>
          <w:szCs w:val="24"/>
          <w:lang w:val="en-US" w:eastAsia="zh-CN"/>
        </w:rPr>
        <w:t>.</w:t>
      </w:r>
      <w:r>
        <w:rPr>
          <w:rFonts w:hint="default" w:asciiTheme="majorEastAsia" w:hAnsiTheme="majorEastAsia" w:eastAsiaTheme="majorEastAsia"/>
          <w:bCs/>
          <w:sz w:val="24"/>
          <w:szCs w:val="24"/>
          <w:lang w:val="en-US" w:eastAsia="zh-CN"/>
        </w:rPr>
        <w:t>汽车美容与装饰</w:t>
      </w:r>
      <w:r>
        <w:rPr>
          <w:rFonts w:hint="eastAsia" w:asciiTheme="majorEastAsia" w:hAnsiTheme="majorEastAsia" w:eastAsiaTheme="majorEastAsia"/>
          <w:bCs/>
          <w:sz w:val="24"/>
          <w:szCs w:val="24"/>
          <w:lang w:val="en-US" w:eastAsia="zh-CN"/>
        </w:rPr>
        <w:t>[M].北京:北京理工大学出版社,2023.</w:t>
      </w:r>
    </w:p>
    <w:p>
      <w:pPr>
        <w:shd w:val="clear" w:color="auto" w:fill="FFFFFF"/>
        <w:spacing w:after="0" w:line="360" w:lineRule="auto"/>
        <w:ind w:firstLine="480" w:firstLineChars="200"/>
        <w:rPr>
          <w:rFonts w:hint="eastAsia" w:asciiTheme="majorEastAsia" w:hAnsiTheme="majorEastAsia" w:eastAsiaTheme="majorEastAsia"/>
          <w:bCs/>
          <w:sz w:val="24"/>
          <w:szCs w:val="24"/>
          <w:lang w:val="en-US" w:eastAsia="zh-CN"/>
        </w:rPr>
      </w:pPr>
      <w:r>
        <w:rPr>
          <w:rFonts w:hint="eastAsia" w:asciiTheme="majorEastAsia" w:hAnsiTheme="majorEastAsia" w:eastAsiaTheme="majorEastAsia"/>
          <w:bCs/>
          <w:sz w:val="24"/>
          <w:szCs w:val="24"/>
          <w:lang w:val="en-US" w:eastAsia="zh-CN"/>
        </w:rPr>
        <w:t>3</w:t>
      </w:r>
      <w:r>
        <w:rPr>
          <w:rFonts w:hint="eastAsia" w:asciiTheme="majorEastAsia" w:hAnsiTheme="majorEastAsia" w:eastAsiaTheme="majorEastAsia"/>
          <w:bCs/>
          <w:sz w:val="24"/>
          <w:szCs w:val="24"/>
        </w:rPr>
        <w:t>.</w:t>
      </w:r>
      <w:r>
        <w:rPr>
          <w:rFonts w:hint="eastAsia" w:asciiTheme="majorEastAsia" w:hAnsiTheme="majorEastAsia" w:eastAsiaTheme="majorEastAsia"/>
          <w:bCs/>
          <w:sz w:val="24"/>
          <w:szCs w:val="24"/>
          <w:lang w:val="en-US" w:eastAsia="zh-CN"/>
        </w:rPr>
        <w:t xml:space="preserve"> 朱升高.</w:t>
      </w:r>
      <w:r>
        <w:rPr>
          <w:rFonts w:hint="eastAsia" w:asciiTheme="majorEastAsia" w:hAnsiTheme="majorEastAsia" w:eastAsiaTheme="majorEastAsia"/>
          <w:bCs/>
          <w:sz w:val="24"/>
          <w:szCs w:val="24"/>
        </w:rPr>
        <w:t>汽车</w:t>
      </w:r>
      <w:r>
        <w:rPr>
          <w:rFonts w:hint="eastAsia" w:asciiTheme="majorEastAsia" w:hAnsiTheme="majorEastAsia" w:eastAsiaTheme="majorEastAsia"/>
          <w:bCs/>
          <w:sz w:val="24"/>
          <w:szCs w:val="24"/>
          <w:lang w:val="en-US" w:eastAsia="zh-CN"/>
        </w:rPr>
        <w:t>美容装饰[M].北京:机械工业</w:t>
      </w:r>
      <w:r>
        <w:rPr>
          <w:rFonts w:hint="eastAsia" w:asciiTheme="majorEastAsia" w:hAnsiTheme="majorEastAsia" w:eastAsiaTheme="majorEastAsia"/>
          <w:bCs/>
          <w:sz w:val="24"/>
          <w:szCs w:val="24"/>
        </w:rPr>
        <w:t>出版社</w:t>
      </w:r>
      <w:r>
        <w:rPr>
          <w:rFonts w:hint="eastAsia" w:asciiTheme="majorEastAsia" w:hAnsiTheme="majorEastAsia" w:eastAsiaTheme="majorEastAsia"/>
          <w:bCs/>
          <w:sz w:val="24"/>
          <w:szCs w:val="24"/>
          <w:lang w:val="en-US" w:eastAsia="zh-CN"/>
        </w:rPr>
        <w:t>,</w:t>
      </w:r>
      <w:r>
        <w:rPr>
          <w:rFonts w:hint="eastAsia" w:asciiTheme="majorEastAsia" w:hAnsiTheme="majorEastAsia" w:eastAsiaTheme="majorEastAsia"/>
          <w:bCs/>
          <w:sz w:val="24"/>
          <w:szCs w:val="24"/>
        </w:rPr>
        <w:t>2022</w:t>
      </w:r>
      <w:r>
        <w:rPr>
          <w:rFonts w:hint="eastAsia" w:asciiTheme="majorEastAsia" w:hAnsiTheme="majorEastAsia" w:eastAsiaTheme="majorEastAsia"/>
          <w:bCs/>
          <w:sz w:val="24"/>
          <w:szCs w:val="24"/>
          <w:lang w:val="en-US" w:eastAsia="zh-CN"/>
        </w:rPr>
        <w:t>.</w:t>
      </w:r>
    </w:p>
    <w:p>
      <w:pPr>
        <w:spacing w:after="0" w:line="360" w:lineRule="auto"/>
        <w:ind w:firstLine="440" w:firstLineChars="200"/>
        <w:rPr>
          <w:color w:val="FF0000"/>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jNDM2YjFkYmYyZmNlMWUxZWU4MzEyNWJlMWYyZGYifQ=="/>
  </w:docVars>
  <w:rsids>
    <w:rsidRoot w:val="00D31D50"/>
    <w:rsid w:val="000009EA"/>
    <w:rsid w:val="0007754E"/>
    <w:rsid w:val="00082234"/>
    <w:rsid w:val="0009554E"/>
    <w:rsid w:val="000C3903"/>
    <w:rsid w:val="000C7C5E"/>
    <w:rsid w:val="001026DF"/>
    <w:rsid w:val="00137DCE"/>
    <w:rsid w:val="00151872"/>
    <w:rsid w:val="00250BAC"/>
    <w:rsid w:val="002A6107"/>
    <w:rsid w:val="002C295B"/>
    <w:rsid w:val="002D11E3"/>
    <w:rsid w:val="002D32AB"/>
    <w:rsid w:val="002E2B85"/>
    <w:rsid w:val="00323B43"/>
    <w:rsid w:val="00367D62"/>
    <w:rsid w:val="003C7F9E"/>
    <w:rsid w:val="003D37D8"/>
    <w:rsid w:val="00426133"/>
    <w:rsid w:val="004358AB"/>
    <w:rsid w:val="0043748D"/>
    <w:rsid w:val="004B02C1"/>
    <w:rsid w:val="004B2FB5"/>
    <w:rsid w:val="004E43D8"/>
    <w:rsid w:val="005018B0"/>
    <w:rsid w:val="005D213F"/>
    <w:rsid w:val="00623CBF"/>
    <w:rsid w:val="00647CCC"/>
    <w:rsid w:val="006F4B7F"/>
    <w:rsid w:val="007202FC"/>
    <w:rsid w:val="00731E07"/>
    <w:rsid w:val="007829D2"/>
    <w:rsid w:val="007A0919"/>
    <w:rsid w:val="007F5777"/>
    <w:rsid w:val="008A4828"/>
    <w:rsid w:val="008B7726"/>
    <w:rsid w:val="008F1A4C"/>
    <w:rsid w:val="00900F78"/>
    <w:rsid w:val="00921FA0"/>
    <w:rsid w:val="0094400E"/>
    <w:rsid w:val="00947709"/>
    <w:rsid w:val="00984431"/>
    <w:rsid w:val="009909F3"/>
    <w:rsid w:val="00990EB4"/>
    <w:rsid w:val="009A0F7C"/>
    <w:rsid w:val="009E6B60"/>
    <w:rsid w:val="00A041D9"/>
    <w:rsid w:val="00AC13C7"/>
    <w:rsid w:val="00AD1F01"/>
    <w:rsid w:val="00AE4A95"/>
    <w:rsid w:val="00B413E4"/>
    <w:rsid w:val="00B646AE"/>
    <w:rsid w:val="00BE47C4"/>
    <w:rsid w:val="00C121D1"/>
    <w:rsid w:val="00CE28BE"/>
    <w:rsid w:val="00CF4211"/>
    <w:rsid w:val="00CF7725"/>
    <w:rsid w:val="00CF7E7E"/>
    <w:rsid w:val="00D31D50"/>
    <w:rsid w:val="00D62A39"/>
    <w:rsid w:val="00D94BFB"/>
    <w:rsid w:val="00E7111F"/>
    <w:rsid w:val="00EC0377"/>
    <w:rsid w:val="00EC7D54"/>
    <w:rsid w:val="00ED1659"/>
    <w:rsid w:val="00ED79AC"/>
    <w:rsid w:val="00F341F8"/>
    <w:rsid w:val="00F46B8F"/>
    <w:rsid w:val="00FB3212"/>
    <w:rsid w:val="00FC30C8"/>
    <w:rsid w:val="00FC6422"/>
    <w:rsid w:val="00FF0F09"/>
    <w:rsid w:val="00FF46D4"/>
    <w:rsid w:val="033A0C2B"/>
    <w:rsid w:val="061F7618"/>
    <w:rsid w:val="22F64717"/>
    <w:rsid w:val="3E6C65D4"/>
    <w:rsid w:val="56463818"/>
    <w:rsid w:val="62CE5926"/>
    <w:rsid w:val="71040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8"/>
    <w:semiHidden/>
    <w:unhideWhenUsed/>
    <w:qFormat/>
    <w:uiPriority w:val="99"/>
    <w:pPr>
      <w:spacing w:after="0"/>
    </w:pPr>
    <w:rPr>
      <w:sz w:val="18"/>
      <w:szCs w:val="18"/>
    </w:rPr>
  </w:style>
  <w:style w:type="paragraph" w:styleId="4">
    <w:name w:val="footer"/>
    <w:basedOn w:val="1"/>
    <w:link w:val="11"/>
    <w:unhideWhenUsed/>
    <w:uiPriority w:val="99"/>
    <w:pPr>
      <w:tabs>
        <w:tab w:val="center" w:pos="4153"/>
        <w:tab w:val="right" w:pos="8306"/>
      </w:tabs>
    </w:pPr>
    <w:rPr>
      <w:sz w:val="18"/>
      <w:szCs w:val="18"/>
    </w:rPr>
  </w:style>
  <w:style w:type="paragraph" w:styleId="5">
    <w:name w:val="header"/>
    <w:basedOn w:val="1"/>
    <w:link w:val="10"/>
    <w:unhideWhenUsed/>
    <w:qFormat/>
    <w:uiPriority w:val="99"/>
    <w:pPr>
      <w:tabs>
        <w:tab w:val="center" w:pos="4153"/>
        <w:tab w:val="right" w:pos="8306"/>
      </w:tabs>
      <w:jc w:val="center"/>
    </w:pPr>
    <w:rPr>
      <w:sz w:val="18"/>
      <w:szCs w:val="18"/>
    </w:rPr>
  </w:style>
  <w:style w:type="character" w:customStyle="1" w:styleId="8">
    <w:name w:val="批注框文本 字符"/>
    <w:basedOn w:val="7"/>
    <w:link w:val="3"/>
    <w:semiHidden/>
    <w:qFormat/>
    <w:uiPriority w:val="99"/>
    <w:rPr>
      <w:rFonts w:ascii="Tahoma" w:hAnsi="Tahoma"/>
      <w:sz w:val="18"/>
      <w:szCs w:val="18"/>
    </w:rPr>
  </w:style>
  <w:style w:type="character" w:customStyle="1" w:styleId="9">
    <w:name w:val="info_title"/>
    <w:basedOn w:val="7"/>
    <w:qFormat/>
    <w:uiPriority w:val="0"/>
  </w:style>
  <w:style w:type="character" w:customStyle="1" w:styleId="10">
    <w:name w:val="页眉 字符"/>
    <w:basedOn w:val="7"/>
    <w:link w:val="5"/>
    <w:qFormat/>
    <w:uiPriority w:val="99"/>
    <w:rPr>
      <w:rFonts w:ascii="Tahoma" w:hAnsi="Tahoma"/>
      <w:sz w:val="18"/>
      <w:szCs w:val="18"/>
    </w:rPr>
  </w:style>
  <w:style w:type="character" w:customStyle="1" w:styleId="11">
    <w:name w:val="页脚 字符"/>
    <w:basedOn w:val="7"/>
    <w:link w:val="4"/>
    <w:qFormat/>
    <w:uiPriority w:val="99"/>
    <w:rPr>
      <w:rFonts w:ascii="Tahoma" w:hAnsi="Tahoma"/>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BF4A94-3037-47D5-A365-2EC1E9D3DE65}">
  <ds:schemaRefs/>
</ds:datastoreItem>
</file>

<file path=docProps/app.xml><?xml version="1.0" encoding="utf-8"?>
<Properties xmlns="http://schemas.openxmlformats.org/officeDocument/2006/extended-properties" xmlns:vt="http://schemas.openxmlformats.org/officeDocument/2006/docPropsVTypes">
  <Template>Normal</Template>
  <Pages>2</Pages>
  <Words>115</Words>
  <Characters>662</Characters>
  <Lines>5</Lines>
  <Paragraphs>1</Paragraphs>
  <TotalTime>3</TotalTime>
  <ScaleCrop>false</ScaleCrop>
  <LinksUpToDate>false</LinksUpToDate>
  <CharactersWithSpaces>776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2023-09-28T14:37:00Z</dcterms:created>
  <dc:creator>穆青</dc:creator>
  <cp:lastModifiedBy>郭志忠</cp:lastModifiedBy>
  <dcterms:modified xsi:type="dcterms:W3CDTF">2023-10-14T05:51:33Z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DB35F2AF772A450B8C6214C968E08345_13</vt:lpwstr>
  </property>
</Properties>
</file>