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44" w:lineRule="exact"/>
        <w:jc w:val="left"/>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附件1</w:t>
      </w:r>
    </w:p>
    <w:p>
      <w:pPr>
        <w:keepNext w:val="0"/>
        <w:keepLines w:val="0"/>
        <w:pageBreakBefore w:val="0"/>
        <w:kinsoku/>
        <w:wordWrap/>
        <w:overflowPunct/>
        <w:topLinePunct w:val="0"/>
        <w:bidi w:val="0"/>
        <w:snapToGrid/>
        <w:spacing w:line="544"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4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2023年海口市职业技能竞赛</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sz w:val="44"/>
          <w:szCs w:val="44"/>
        </w:rPr>
        <w:t>“工会杯”</w:t>
      </w:r>
    </w:p>
    <w:p>
      <w:pPr>
        <w:keepNext w:val="0"/>
        <w:keepLines w:val="0"/>
        <w:pageBreakBefore w:val="0"/>
        <w:widowControl w:val="0"/>
        <w:kinsoku/>
        <w:wordWrap/>
        <w:overflowPunct/>
        <w:topLinePunct w:val="0"/>
        <w:autoSpaceDE/>
        <w:autoSpaceDN/>
        <w:bidi w:val="0"/>
        <w:adjustRightInd/>
        <w:snapToGrid/>
        <w:spacing w:line="544"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第二届邮政行业职业技能竞赛</w:t>
      </w:r>
      <w:r>
        <w:rPr>
          <w:rFonts w:hint="eastAsia" w:ascii="方正小标宋简体" w:hAnsi="方正小标宋简体" w:eastAsia="方正小标宋简体" w:cs="方正小标宋简体"/>
          <w:sz w:val="44"/>
          <w:szCs w:val="44"/>
          <w:lang w:eastAsia="zh-CN"/>
        </w:rPr>
        <w:t>方案</w:t>
      </w:r>
    </w:p>
    <w:p>
      <w:pPr>
        <w:pStyle w:val="4"/>
        <w:keepNext w:val="0"/>
        <w:keepLines w:val="0"/>
        <w:pageBreakBefore w:val="0"/>
        <w:kinsoku/>
        <w:wordWrap/>
        <w:overflowPunct/>
        <w:topLinePunct w:val="0"/>
        <w:bidi w:val="0"/>
        <w:snapToGrid/>
        <w:spacing w:line="544"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w:t>
      </w:r>
      <w:r>
        <w:rPr>
          <w:rFonts w:ascii="仿宋_GB2312" w:hAnsi="仿宋_GB2312" w:eastAsia="仿宋_GB2312" w:cs="仿宋_GB2312"/>
          <w:b w:val="0"/>
          <w:bCs w:val="0"/>
          <w:color w:val="auto"/>
          <w:sz w:val="31"/>
          <w:szCs w:val="31"/>
        </w:rPr>
        <w:t xml:space="preserve">《海南省职业技能竞赛管理暂行办法》（琼人社规 </w:t>
      </w:r>
      <w:r>
        <w:rPr>
          <w:rFonts w:hint="eastAsia" w:ascii="仿宋" w:hAnsi="仿宋" w:eastAsia="仿宋" w:cs="仿宋"/>
          <w:b w:val="0"/>
          <w:bCs w:val="0"/>
          <w:color w:val="auto"/>
          <w:sz w:val="32"/>
          <w:szCs w:val="32"/>
        </w:rPr>
        <w:t>〔2021〕27 号）</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rPr>
        <w:t>海口市人力资源和社会保障局</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关于做好 2023 年海口市职业技能竞赛工作的通知</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海人社发〔2023〕97号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以及海口市总工会《关于开展2023年“奋进新征程、建功自贸港”主题劳动和技能竞赛活动的通知》（海工字〔2023〕32号）等文件要求，为推进实施“人才强邮”战略，</w:t>
      </w:r>
      <w:r>
        <w:rPr>
          <w:rFonts w:hint="eastAsia" w:ascii="仿宋_GB2312" w:hAnsi="仿宋_GB2312" w:eastAsia="仿宋_GB2312" w:cs="仿宋_GB2312"/>
          <w:sz w:val="32"/>
          <w:szCs w:val="32"/>
        </w:rPr>
        <w:t>海口市邮政管理局、海口市总工会、海口市人力资源和社会保障局</w:t>
      </w:r>
      <w:r>
        <w:rPr>
          <w:rFonts w:hint="eastAsia" w:ascii="仿宋_GB2312" w:hAnsi="仿宋_GB2312" w:eastAsia="仿宋_GB2312" w:cs="仿宋_GB2312"/>
          <w:color w:val="auto"/>
          <w:sz w:val="32"/>
          <w:szCs w:val="32"/>
          <w:lang w:val="en-US" w:eastAsia="zh-CN"/>
        </w:rPr>
        <w:t>决定</w:t>
      </w:r>
      <w:r>
        <w:rPr>
          <w:rFonts w:hint="eastAsia" w:ascii="仿宋_GB2312" w:hAnsi="仿宋_GB2312" w:eastAsia="仿宋_GB2312" w:cs="仿宋_GB2312"/>
          <w:color w:val="auto"/>
          <w:sz w:val="32"/>
          <w:szCs w:val="32"/>
        </w:rPr>
        <w:t>共同</w:t>
      </w:r>
      <w:r>
        <w:rPr>
          <w:rFonts w:hint="eastAsia" w:ascii="仿宋_GB2312" w:hAnsi="仿宋_GB2312" w:eastAsia="仿宋_GB2312" w:cs="仿宋_GB2312"/>
          <w:sz w:val="32"/>
          <w:szCs w:val="32"/>
        </w:rPr>
        <w:t>举办2023年海口市职业技能竞赛—“工会杯”第二届邮政行业职业技能竞</w:t>
      </w:r>
      <w:r>
        <w:rPr>
          <w:rFonts w:hint="eastAsia" w:ascii="仿宋_GB2312" w:hAnsi="仿宋_GB2312" w:eastAsia="仿宋_GB2312" w:cs="仿宋_GB2312"/>
          <w:w w:val="97"/>
          <w:sz w:val="32"/>
          <w:szCs w:val="32"/>
        </w:rPr>
        <w:t>赛。</w:t>
      </w:r>
      <w:r>
        <w:rPr>
          <w:rFonts w:hint="eastAsia" w:ascii="仿宋_GB2312" w:hAnsi="仿宋_GB2312" w:eastAsia="仿宋_GB2312" w:cs="仿宋_GB2312"/>
          <w:color w:val="auto"/>
          <w:w w:val="97"/>
          <w:sz w:val="32"/>
          <w:szCs w:val="32"/>
          <w:lang w:val="en-US" w:eastAsia="zh-CN"/>
        </w:rPr>
        <w:t>为保障比赛顺利进行，现结合海口实际，制定以下工作方案：</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以习近平新时代中国特色社会主义思想为指导，全面贯彻落实党的二十大精神，深入学习贯彻习近平总书记关于产业工人队伍建设改革重要指示精神、对技能人才工作系列重要指示批示精神和对邮政行业重要指示批示精神，以“技能成才 技能报国 奋进新征程 建功自贸港 ”为主题，充分发挥职业技能竞赛引领作用</w:t>
      </w:r>
      <w:r>
        <w:rPr>
          <w:rFonts w:hint="eastAsia" w:ascii="仿宋_GB2312" w:hAnsi="仿宋_GB2312" w:eastAsia="仿宋_GB2312" w:cs="仿宋_GB2312"/>
          <w:color w:val="auto"/>
          <w:sz w:val="32"/>
          <w:szCs w:val="32"/>
          <w:lang w:eastAsia="zh-CN"/>
        </w:rPr>
        <w:t>，为加快推进海南自贸港核心区和现代化国际化新海口建设贡献智慧力量。</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二、竞赛主题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技能成才 技能报国</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auto"/>
          <w:sz w:val="32"/>
          <w:szCs w:val="32"/>
          <w:lang w:val="en-US" w:eastAsia="zh-CN"/>
        </w:rPr>
        <w:t>奋进新征程 建功自贸港</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、组织机构</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主办单位：海口市邮政管理局、海口市总工会、海口市人力资源和社会保障局</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sz w:val="32"/>
          <w:szCs w:val="32"/>
        </w:rPr>
        <w:t>承办单位：海口市职业培训和技能鉴定管理中心</w:t>
      </w:r>
      <w:r>
        <w:rPr>
          <w:rFonts w:hint="eastAsia" w:ascii="仿宋_GB2312" w:hAnsi="仿宋_GB2312" w:eastAsia="仿宋_GB2312" w:cs="仿宋_GB2312"/>
          <w:sz w:val="32"/>
          <w:szCs w:val="32"/>
          <w:lang w:eastAsia="zh-CN"/>
        </w:rPr>
        <w:t>、承办单位（</w:t>
      </w:r>
      <w:r>
        <w:rPr>
          <w:rFonts w:hint="eastAsia" w:ascii="仿宋_GB2312" w:hAnsi="仿宋_GB2312" w:eastAsia="仿宋_GB2312" w:cs="仿宋_GB2312"/>
          <w:b w:val="0"/>
          <w:bCs w:val="0"/>
          <w:sz w:val="32"/>
          <w:szCs w:val="32"/>
          <w:highlight w:val="none"/>
          <w:lang w:eastAsia="zh-CN"/>
        </w:rPr>
        <w:t>待定、由市邮政管理局牵头负责承办方询价事宜）</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成立2023年海口市职业技能竞赛—“工会杯”第二届邮政行业职业技能竞赛</w:t>
      </w:r>
      <w:r>
        <w:rPr>
          <w:rFonts w:hint="eastAsia" w:ascii="仿宋_GB2312" w:hAnsi="仿宋_GB2312" w:eastAsia="仿宋_GB2312" w:cs="仿宋_GB2312"/>
          <w:sz w:val="32"/>
          <w:szCs w:val="32"/>
          <w:lang w:eastAsia="zh-CN"/>
        </w:rPr>
        <w:t>组织委员会</w:t>
      </w:r>
      <w:r>
        <w:rPr>
          <w:rFonts w:hint="eastAsia" w:ascii="仿宋_GB2312" w:hAnsi="仿宋_GB2312" w:eastAsia="仿宋_GB2312" w:cs="仿宋_GB2312"/>
          <w:sz w:val="32"/>
          <w:szCs w:val="32"/>
        </w:rPr>
        <w:t>（以下简称“组委会”），组委会由</w:t>
      </w:r>
      <w:r>
        <w:rPr>
          <w:rFonts w:hint="eastAsia"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rPr>
        <w:t>主办单位及承办单位主要负责人组成，负责大赛的组织领导、统筹协调等工作。</w:t>
      </w:r>
      <w:r>
        <w:rPr>
          <w:rFonts w:hint="eastAsia" w:ascii="仿宋_GB2312" w:hAnsi="仿宋_GB2312" w:eastAsia="仿宋_GB2312" w:cs="仿宋_GB2312"/>
          <w:color w:val="auto"/>
          <w:sz w:val="32"/>
          <w:szCs w:val="32"/>
          <w:highlight w:val="none"/>
        </w:rPr>
        <w:t>组委会下设办公室、</w:t>
      </w:r>
      <w:r>
        <w:rPr>
          <w:rFonts w:hint="eastAsia" w:ascii="仿宋_GB2312" w:hAnsi="仿宋_GB2312" w:eastAsia="仿宋_GB2312" w:cs="仿宋_GB2312"/>
          <w:color w:val="auto"/>
          <w:sz w:val="32"/>
          <w:szCs w:val="32"/>
          <w:highlight w:val="none"/>
          <w:lang w:eastAsia="zh-CN"/>
        </w:rPr>
        <w:t>技术工作组、监督仲裁组、</w:t>
      </w:r>
      <w:r>
        <w:rPr>
          <w:rFonts w:hint="eastAsia" w:ascii="仿宋_GB2312" w:hAnsi="仿宋_GB2312" w:eastAsia="仿宋_GB2312" w:cs="仿宋_GB2312"/>
          <w:color w:val="auto"/>
          <w:sz w:val="32"/>
          <w:szCs w:val="32"/>
          <w:highlight w:val="none"/>
        </w:rPr>
        <w:t>后勤保障组，</w:t>
      </w:r>
      <w:r>
        <w:rPr>
          <w:rFonts w:hint="eastAsia" w:ascii="仿宋_GB2312" w:hAnsi="仿宋_GB2312" w:eastAsia="仿宋_GB2312" w:cs="仿宋_GB2312"/>
          <w:b w:val="0"/>
          <w:bCs w:val="0"/>
          <w:color w:val="auto"/>
          <w:sz w:val="32"/>
          <w:szCs w:val="32"/>
          <w:highlight w:val="none"/>
        </w:rPr>
        <w:t>办公室设在</w:t>
      </w:r>
      <w:r>
        <w:rPr>
          <w:rFonts w:hint="eastAsia" w:ascii="仿宋_GB2312" w:hAnsi="仿宋_GB2312" w:eastAsia="仿宋_GB2312" w:cs="仿宋_GB2312"/>
          <w:b w:val="0"/>
          <w:bCs w:val="0"/>
          <w:color w:val="auto"/>
          <w:sz w:val="32"/>
          <w:szCs w:val="32"/>
          <w:highlight w:val="none"/>
          <w:lang w:val="en-US" w:eastAsia="zh-CN"/>
        </w:rPr>
        <w:t>海口市邮政管理局办公室。</w:t>
      </w:r>
      <w:r>
        <w:rPr>
          <w:rFonts w:ascii="仿宋_GB2312" w:hAnsi="仿宋_GB2312" w:eastAsia="仿宋_GB2312" w:cs="仿宋_GB2312"/>
          <w:b w:val="0"/>
          <w:bCs w:val="0"/>
          <w:color w:val="auto"/>
          <w:sz w:val="31"/>
          <w:szCs w:val="31"/>
        </w:rPr>
        <w:t>赛事全部结束后</w:t>
      </w:r>
      <w:r>
        <w:rPr>
          <w:rFonts w:hint="eastAsia" w:ascii="仿宋_GB2312" w:hAnsi="仿宋_GB2312" w:eastAsia="仿宋_GB2312" w:cs="仿宋_GB2312"/>
          <w:b w:val="0"/>
          <w:bCs w:val="0"/>
          <w:color w:val="auto"/>
          <w:sz w:val="31"/>
          <w:szCs w:val="31"/>
          <w:lang w:val="en-US" w:eastAsia="zh-CN"/>
        </w:rPr>
        <w:t>组委会</w:t>
      </w:r>
      <w:r>
        <w:rPr>
          <w:rFonts w:ascii="仿宋_GB2312" w:hAnsi="仿宋_GB2312" w:eastAsia="仿宋_GB2312" w:cs="仿宋_GB2312"/>
          <w:b w:val="0"/>
          <w:bCs w:val="0"/>
          <w:color w:val="auto"/>
          <w:sz w:val="31"/>
          <w:szCs w:val="31"/>
        </w:rPr>
        <w:t>自行撤销</w:t>
      </w:r>
      <w:r>
        <w:rPr>
          <w:rFonts w:hint="eastAsia" w:ascii="仿宋_GB2312" w:hAnsi="仿宋_GB2312" w:eastAsia="仿宋_GB2312" w:cs="仿宋_GB2312"/>
          <w:b w:val="0"/>
          <w:bCs w:val="0"/>
          <w:color w:val="auto"/>
          <w:sz w:val="31"/>
          <w:szCs w:val="31"/>
          <w:lang w:eastAsia="zh-CN"/>
        </w:rPr>
        <w:t>。</w:t>
      </w:r>
    </w:p>
    <w:p>
      <w:pPr>
        <w:keepNext w:val="0"/>
        <w:keepLines w:val="0"/>
        <w:pageBreakBefore w:val="0"/>
        <w:widowControl/>
        <w:suppressLineNumbers w:val="0"/>
        <w:kinsoku/>
        <w:wordWrap/>
        <w:overflowPunct/>
        <w:topLinePunct w:val="0"/>
        <w:bidi w:val="0"/>
        <w:snapToGrid/>
        <w:spacing w:line="544" w:lineRule="exact"/>
        <w:ind w:firstLine="620" w:firstLineChars="200"/>
        <w:jc w:val="left"/>
        <w:textAlignment w:val="auto"/>
        <w:rPr>
          <w:rFonts w:ascii="仿宋_GB2312" w:hAnsi="仿宋_GB2312" w:eastAsia="仿宋_GB2312" w:cs="仿宋_GB2312"/>
          <w:b w:val="0"/>
          <w:bCs w:val="0"/>
          <w:color w:val="auto"/>
          <w:kern w:val="0"/>
          <w:sz w:val="31"/>
          <w:szCs w:val="31"/>
          <w:lang w:val="en-US" w:eastAsia="zh-CN"/>
        </w:rPr>
      </w:pPr>
      <w:r>
        <w:rPr>
          <w:rFonts w:ascii="仿宋_GB2312" w:hAnsi="仿宋_GB2312" w:eastAsia="仿宋_GB2312" w:cs="仿宋_GB2312"/>
          <w:b w:val="0"/>
          <w:bCs w:val="0"/>
          <w:color w:val="auto"/>
          <w:kern w:val="0"/>
          <w:sz w:val="31"/>
          <w:szCs w:val="31"/>
          <w:lang w:val="en-US" w:eastAsia="zh-CN"/>
        </w:rPr>
        <w:t>（一）竞赛组织委员会全面负责竞赛的组织领导，监督检查赛务，决策竞赛重要事项，确保竞赛规范、有序进行。</w:t>
      </w:r>
    </w:p>
    <w:p>
      <w:pPr>
        <w:keepNext w:val="0"/>
        <w:keepLines w:val="0"/>
        <w:pageBreakBefore w:val="0"/>
        <w:widowControl/>
        <w:suppressLineNumbers w:val="0"/>
        <w:kinsoku/>
        <w:wordWrap/>
        <w:overflowPunct/>
        <w:topLinePunct w:val="0"/>
        <w:bidi w:val="0"/>
        <w:snapToGrid/>
        <w:spacing w:line="544" w:lineRule="exact"/>
        <w:jc w:val="left"/>
        <w:textAlignment w:val="auto"/>
        <w:rPr>
          <w:rFonts w:ascii="仿宋_GB2312" w:hAnsi="仿宋_GB2312" w:eastAsia="仿宋_GB2312" w:cs="仿宋_GB2312"/>
          <w:b w:val="0"/>
          <w:bCs w:val="0"/>
          <w:color w:val="auto"/>
          <w:kern w:val="0"/>
          <w:sz w:val="31"/>
          <w:szCs w:val="31"/>
          <w:lang w:val="en-US" w:eastAsia="zh-CN"/>
        </w:rPr>
      </w:pPr>
      <w:r>
        <w:rPr>
          <w:rFonts w:ascii="仿宋_GB2312" w:hAnsi="仿宋_GB2312" w:eastAsia="仿宋_GB2312" w:cs="仿宋_GB2312"/>
          <w:b w:val="0"/>
          <w:bCs w:val="0"/>
          <w:color w:val="auto"/>
          <w:kern w:val="0"/>
          <w:sz w:val="31"/>
          <w:szCs w:val="31"/>
          <w:lang w:val="en-US" w:eastAsia="zh-CN"/>
        </w:rPr>
        <w:t xml:space="preserve"> </w:t>
      </w:r>
      <w:r>
        <w:rPr>
          <w:rFonts w:hint="eastAsia" w:ascii="仿宋_GB2312" w:hAnsi="仿宋_GB2312" w:eastAsia="仿宋_GB2312" w:cs="仿宋_GB2312"/>
          <w:b w:val="0"/>
          <w:bCs w:val="0"/>
          <w:color w:val="auto"/>
          <w:kern w:val="0"/>
          <w:sz w:val="31"/>
          <w:szCs w:val="31"/>
          <w:lang w:val="en-US" w:eastAsia="zh-CN"/>
        </w:rPr>
        <w:t xml:space="preserve">   </w:t>
      </w:r>
      <w:r>
        <w:rPr>
          <w:rFonts w:ascii="仿宋_GB2312" w:hAnsi="仿宋_GB2312" w:eastAsia="仿宋_GB2312" w:cs="仿宋_GB2312"/>
          <w:b w:val="0"/>
          <w:bCs w:val="0"/>
          <w:color w:val="auto"/>
          <w:kern w:val="0"/>
          <w:sz w:val="31"/>
          <w:szCs w:val="31"/>
          <w:lang w:val="en-US" w:eastAsia="zh-CN"/>
        </w:rPr>
        <w:t>（二）竞赛组织委员会办公室负责组建技术工作组和监督仲裁组、后勤保障组等工作小组，统筹协调竞赛工作、组织实施竞赛。</w:t>
      </w:r>
    </w:p>
    <w:p>
      <w:pPr>
        <w:keepNext w:val="0"/>
        <w:keepLines w:val="0"/>
        <w:pageBreakBefore w:val="0"/>
        <w:widowControl/>
        <w:suppressLineNumbers w:val="0"/>
        <w:kinsoku/>
        <w:wordWrap/>
        <w:overflowPunct/>
        <w:topLinePunct w:val="0"/>
        <w:bidi w:val="0"/>
        <w:snapToGrid/>
        <w:spacing w:line="544" w:lineRule="exact"/>
        <w:jc w:val="left"/>
        <w:textAlignment w:val="auto"/>
        <w:rPr>
          <w:rFonts w:ascii="仿宋_GB2312" w:hAnsi="仿宋_GB2312" w:eastAsia="仿宋_GB2312" w:cs="仿宋_GB2312"/>
          <w:b w:val="0"/>
          <w:bCs w:val="0"/>
          <w:color w:val="auto"/>
          <w:kern w:val="0"/>
          <w:sz w:val="31"/>
          <w:szCs w:val="31"/>
          <w:lang w:val="en-US" w:eastAsia="zh-CN"/>
        </w:rPr>
      </w:pPr>
      <w:r>
        <w:rPr>
          <w:rFonts w:ascii="仿宋_GB2312" w:hAnsi="仿宋_GB2312" w:eastAsia="仿宋_GB2312" w:cs="仿宋_GB2312"/>
          <w:b w:val="0"/>
          <w:bCs w:val="0"/>
          <w:color w:val="auto"/>
          <w:kern w:val="0"/>
          <w:sz w:val="31"/>
          <w:szCs w:val="31"/>
          <w:lang w:val="en-US" w:eastAsia="zh-CN"/>
        </w:rPr>
        <w:t xml:space="preserve"> </w:t>
      </w:r>
      <w:r>
        <w:rPr>
          <w:rFonts w:hint="eastAsia" w:ascii="仿宋_GB2312" w:hAnsi="仿宋_GB2312" w:eastAsia="仿宋_GB2312" w:cs="仿宋_GB2312"/>
          <w:b w:val="0"/>
          <w:bCs w:val="0"/>
          <w:color w:val="auto"/>
          <w:kern w:val="0"/>
          <w:sz w:val="31"/>
          <w:szCs w:val="31"/>
          <w:lang w:val="en-US" w:eastAsia="zh-CN"/>
        </w:rPr>
        <w:t xml:space="preserve">   </w:t>
      </w:r>
      <w:r>
        <w:rPr>
          <w:rFonts w:ascii="仿宋_GB2312" w:hAnsi="仿宋_GB2312" w:eastAsia="仿宋_GB2312" w:cs="仿宋_GB2312"/>
          <w:b w:val="0"/>
          <w:bCs w:val="0"/>
          <w:color w:val="auto"/>
          <w:kern w:val="0"/>
          <w:sz w:val="31"/>
          <w:szCs w:val="31"/>
          <w:lang w:val="en-US" w:eastAsia="zh-CN"/>
        </w:rPr>
        <w:t>（三）技术工作组负责组建技术专家团队，承担技术文件制定、竞赛命题、裁判工作安排、竞赛成绩汇总等技术工作，但不得影响或干扰裁判独立履行裁判职责。</w:t>
      </w:r>
    </w:p>
    <w:p>
      <w:pPr>
        <w:keepNext w:val="0"/>
        <w:keepLines w:val="0"/>
        <w:pageBreakBefore w:val="0"/>
        <w:widowControl/>
        <w:suppressLineNumbers w:val="0"/>
        <w:kinsoku/>
        <w:wordWrap/>
        <w:overflowPunct/>
        <w:topLinePunct w:val="0"/>
        <w:bidi w:val="0"/>
        <w:snapToGrid/>
        <w:spacing w:line="544" w:lineRule="exact"/>
        <w:jc w:val="left"/>
        <w:textAlignment w:val="auto"/>
        <w:rPr>
          <w:color w:val="auto"/>
        </w:rPr>
      </w:pPr>
      <w:r>
        <w:rPr>
          <w:rFonts w:ascii="仿宋_GB2312" w:hAnsi="仿宋_GB2312" w:eastAsia="仿宋_GB2312" w:cs="仿宋_GB2312"/>
          <w:b w:val="0"/>
          <w:bCs w:val="0"/>
          <w:color w:val="auto"/>
          <w:kern w:val="0"/>
          <w:sz w:val="31"/>
          <w:szCs w:val="31"/>
          <w:lang w:val="en-US" w:eastAsia="zh-CN"/>
        </w:rPr>
        <w:t xml:space="preserve"> </w:t>
      </w:r>
      <w:r>
        <w:rPr>
          <w:rFonts w:hint="eastAsia" w:ascii="仿宋_GB2312" w:hAnsi="仿宋_GB2312" w:eastAsia="仿宋_GB2312" w:cs="仿宋_GB2312"/>
          <w:b w:val="0"/>
          <w:bCs w:val="0"/>
          <w:color w:val="auto"/>
          <w:kern w:val="0"/>
          <w:sz w:val="31"/>
          <w:szCs w:val="31"/>
          <w:lang w:val="en-US" w:eastAsia="zh-CN"/>
        </w:rPr>
        <w:t xml:space="preserve">   </w:t>
      </w:r>
      <w:r>
        <w:rPr>
          <w:rFonts w:ascii="仿宋_GB2312" w:hAnsi="仿宋_GB2312" w:eastAsia="仿宋_GB2312" w:cs="仿宋_GB2312"/>
          <w:b w:val="0"/>
          <w:bCs w:val="0"/>
          <w:color w:val="auto"/>
          <w:kern w:val="0"/>
          <w:sz w:val="31"/>
          <w:szCs w:val="31"/>
          <w:lang w:val="en-US" w:eastAsia="zh-CN"/>
        </w:rPr>
        <w:t>（四）监督仲裁组由竞赛组织委员会部分成员及资深专家组成，负责督导竞赛规范实施，受理各代表队领队的书面申诉并进行仲裁，申诉的争议问题经监督仲裁组研究后提出处理意见，并通过竞赛组织委员会同意，作为争议的最终处理意见。邀请公证部门对竞赛成绩进行公证，确保竞赛公平、公正。</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（五）竞赛</w:t>
      </w:r>
      <w:r>
        <w:rPr>
          <w:rFonts w:hint="eastAsia" w:ascii="仿宋_GB2312" w:hAnsi="仿宋_GB2312" w:eastAsia="仿宋_GB2312" w:cs="仿宋_GB2312"/>
          <w:b w:val="0"/>
          <w:bCs w:val="0"/>
          <w:color w:val="auto"/>
          <w:sz w:val="32"/>
          <w:szCs w:val="32"/>
        </w:rPr>
        <w:t>后勤保障组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负责与竞赛各相关单位的日常沟通；</w:t>
      </w:r>
      <w:r>
        <w:rPr>
          <w:rFonts w:hint="eastAsia" w:ascii="仿宋_GB2312" w:hAnsi="仿宋_GB2312" w:eastAsia="仿宋_GB2312" w:cs="仿宋_GB2312"/>
          <w:b w:val="0"/>
          <w:bCs w:val="0"/>
          <w:color w:val="auto"/>
          <w:sz w:val="32"/>
          <w:szCs w:val="32"/>
          <w:lang w:eastAsia="zh-CN"/>
        </w:rPr>
        <w:t>负责竞赛奖品、物品的设计、制作和管理；负责竞赛经费的使用和管理，</w:t>
      </w:r>
      <w:r>
        <w:rPr>
          <w:rFonts w:hint="eastAsia" w:ascii="仿宋_GB2312" w:hAnsi="仿宋_GB2312" w:eastAsia="仿宋_GB2312" w:cs="仿宋_GB2312"/>
          <w:b w:val="0"/>
          <w:bCs w:val="0"/>
          <w:color w:val="auto"/>
          <w:sz w:val="32"/>
          <w:szCs w:val="32"/>
        </w:rPr>
        <w:t>负责竞赛期间的各项宣传工作</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、参赛人员</w:t>
      </w:r>
      <w:r>
        <w:rPr>
          <w:rFonts w:hint="eastAsia" w:ascii="黑体" w:hAnsi="黑体" w:eastAsia="黑体" w:cs="黑体"/>
          <w:color w:val="auto"/>
          <w:sz w:val="32"/>
          <w:szCs w:val="32"/>
          <w:lang w:eastAsia="zh-CN"/>
        </w:rPr>
        <w:t>范围</w:t>
      </w:r>
      <w:r>
        <w:rPr>
          <w:rFonts w:hint="eastAsia" w:ascii="黑体" w:hAnsi="黑体" w:eastAsia="黑体" w:cs="黑体"/>
          <w:color w:val="auto"/>
          <w:sz w:val="32"/>
          <w:szCs w:val="32"/>
        </w:rPr>
        <w:t>及条件</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参赛人员</w:t>
      </w:r>
      <w:r>
        <w:rPr>
          <w:rFonts w:hint="eastAsia" w:ascii="楷体" w:hAnsi="楷体" w:eastAsia="楷体" w:cs="楷体"/>
          <w:color w:val="auto"/>
          <w:sz w:val="32"/>
          <w:szCs w:val="32"/>
          <w:lang w:eastAsia="zh-CN"/>
        </w:rPr>
        <w:t>范围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快递员</w:t>
      </w:r>
      <w:r>
        <w:rPr>
          <w:rFonts w:hint="eastAsia" w:ascii="仿宋_GB2312" w:hAnsi="仿宋_GB2312" w:eastAsia="仿宋_GB2312" w:cs="仿宋_GB2312"/>
          <w:color w:val="auto"/>
          <w:sz w:val="32"/>
          <w:szCs w:val="32"/>
          <w:lang w:eastAsia="zh-CN"/>
        </w:rPr>
        <w:t>、快件处理员</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快递员为从事快件揽收、派送和客户信息收集、关系维护及业务推广工作的</w:t>
      </w:r>
      <w:r>
        <w:rPr>
          <w:rFonts w:hint="eastAsia" w:ascii="仿宋_GB2312" w:hAnsi="仿宋_GB2312" w:eastAsia="仿宋_GB2312" w:cs="仿宋_GB2312"/>
          <w:color w:val="auto"/>
          <w:sz w:val="32"/>
          <w:szCs w:val="32"/>
          <w:lang w:eastAsia="zh-CN"/>
        </w:rPr>
        <w:t>邮政快递</w:t>
      </w:r>
      <w:r>
        <w:rPr>
          <w:rFonts w:hint="eastAsia" w:ascii="仿宋_GB2312" w:hAnsi="仿宋_GB2312" w:eastAsia="仿宋_GB2312" w:cs="仿宋_GB2312"/>
          <w:color w:val="auto"/>
          <w:sz w:val="32"/>
          <w:szCs w:val="32"/>
        </w:rPr>
        <w:t>企业在岗职工；快件处理员为从事快件及总包的接收、卸载、分拨、集包、装载、发运等工作的</w:t>
      </w:r>
      <w:r>
        <w:rPr>
          <w:rFonts w:hint="eastAsia" w:ascii="仿宋_GB2312" w:hAnsi="仿宋_GB2312" w:eastAsia="仿宋_GB2312" w:cs="仿宋_GB2312"/>
          <w:color w:val="auto"/>
          <w:sz w:val="32"/>
          <w:szCs w:val="32"/>
          <w:lang w:eastAsia="zh-CN"/>
        </w:rPr>
        <w:t>邮政快递</w:t>
      </w:r>
      <w:r>
        <w:rPr>
          <w:rFonts w:hint="eastAsia" w:ascii="仿宋_GB2312" w:hAnsi="仿宋_GB2312" w:eastAsia="仿宋_GB2312" w:cs="仿宋_GB2312"/>
          <w:color w:val="auto"/>
          <w:sz w:val="32"/>
          <w:szCs w:val="32"/>
        </w:rPr>
        <w:t>企业在岗职工。</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（二）资格条件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ascii="仿宋_GB2312" w:hAnsi="仿宋_GB2312" w:eastAsia="仿宋_GB2312" w:cs="仿宋_GB2312"/>
          <w:b w:val="0"/>
          <w:bCs w:val="0"/>
          <w:color w:val="auto"/>
          <w:sz w:val="31"/>
          <w:szCs w:val="31"/>
        </w:rPr>
        <w:t>报名参加竞赛的人员，</w:t>
      </w:r>
      <w:r>
        <w:rPr>
          <w:rFonts w:hint="eastAsia" w:ascii="仿宋_GB2312" w:hAnsi="仿宋_GB2312" w:eastAsia="仿宋_GB2312" w:cs="仿宋_GB2312"/>
          <w:color w:val="auto"/>
          <w:sz w:val="32"/>
          <w:szCs w:val="32"/>
        </w:rPr>
        <w:t>须政治素质好、职业素养高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1"/>
          <w:szCs w:val="31"/>
          <w:lang w:eastAsia="zh-CN"/>
        </w:rPr>
      </w:pP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b w:val="0"/>
          <w:bCs w:val="0"/>
          <w:color w:val="auto"/>
          <w:sz w:val="31"/>
          <w:szCs w:val="31"/>
        </w:rPr>
        <w:t>在海口市内工作或学习、居住满1年以上</w:t>
      </w:r>
      <w:r>
        <w:rPr>
          <w:rFonts w:hint="eastAsia" w:ascii="仿宋_GB2312" w:hAnsi="仿宋_GB2312" w:eastAsia="仿宋_GB2312" w:cs="仿宋_GB2312"/>
          <w:b w:val="0"/>
          <w:bCs w:val="0"/>
          <w:color w:val="auto"/>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20" w:firstLineChars="200"/>
        <w:textAlignment w:val="auto"/>
        <w:rPr>
          <w:rFonts w:ascii="仿宋_GB2312" w:hAnsi="仿宋_GB2312" w:eastAsia="仿宋_GB2312" w:cs="仿宋_GB2312"/>
          <w:b w:val="0"/>
          <w:bCs w:val="0"/>
          <w:color w:val="auto"/>
          <w:sz w:val="31"/>
          <w:szCs w:val="31"/>
        </w:rPr>
      </w:pPr>
      <w:r>
        <w:rPr>
          <w:rFonts w:hint="eastAsia" w:ascii="仿宋_GB2312" w:hAnsi="仿宋_GB2312" w:eastAsia="仿宋_GB2312" w:cs="仿宋_GB2312"/>
          <w:b w:val="0"/>
          <w:bCs w:val="0"/>
          <w:color w:val="auto"/>
          <w:sz w:val="31"/>
          <w:szCs w:val="31"/>
          <w:lang w:val="en-US" w:eastAsia="zh-CN"/>
        </w:rPr>
        <w:t>3.</w:t>
      </w:r>
      <w:r>
        <w:rPr>
          <w:rFonts w:ascii="仿宋_GB2312" w:hAnsi="仿宋_GB2312" w:eastAsia="仿宋_GB2312" w:cs="仿宋_GB2312"/>
          <w:b w:val="0"/>
          <w:bCs w:val="0"/>
          <w:color w:val="auto"/>
          <w:sz w:val="31"/>
          <w:szCs w:val="31"/>
        </w:rPr>
        <w:t>年满</w:t>
      </w:r>
      <w:r>
        <w:rPr>
          <w:rFonts w:hint="eastAsia" w:ascii="仿宋_GB2312" w:hAnsi="仿宋_GB2312" w:eastAsia="仿宋_GB2312" w:cs="仿宋_GB2312"/>
          <w:b w:val="0"/>
          <w:bCs w:val="0"/>
          <w:color w:val="auto"/>
          <w:sz w:val="31"/>
          <w:szCs w:val="31"/>
          <w:lang w:val="en-US" w:eastAsia="zh-CN"/>
        </w:rPr>
        <w:t>16</w:t>
      </w:r>
      <w:r>
        <w:rPr>
          <w:rFonts w:ascii="仿宋_GB2312" w:hAnsi="仿宋_GB2312" w:eastAsia="仿宋_GB2312" w:cs="仿宋_GB2312"/>
          <w:b w:val="0"/>
          <w:bCs w:val="0"/>
          <w:color w:val="auto"/>
          <w:sz w:val="31"/>
          <w:szCs w:val="31"/>
        </w:rPr>
        <w:t>周岁</w:t>
      </w:r>
      <w:r>
        <w:rPr>
          <w:rFonts w:hint="eastAsia" w:ascii="仿宋_GB2312" w:hAnsi="仿宋_GB2312" w:eastAsia="仿宋_GB2312" w:cs="仿宋_GB2312"/>
          <w:b w:val="0"/>
          <w:bCs w:val="0"/>
          <w:color w:val="auto"/>
          <w:sz w:val="31"/>
          <w:szCs w:val="31"/>
          <w:lang w:val="en-US" w:eastAsia="zh-CN"/>
        </w:rPr>
        <w:t>，且未达到</w:t>
      </w:r>
      <w:r>
        <w:rPr>
          <w:rFonts w:ascii="仿宋_GB2312" w:hAnsi="仿宋_GB2312" w:eastAsia="仿宋_GB2312" w:cs="仿宋_GB2312"/>
          <w:b w:val="0"/>
          <w:bCs w:val="0"/>
          <w:color w:val="auto"/>
          <w:sz w:val="31"/>
          <w:szCs w:val="31"/>
        </w:rPr>
        <w:t>法定退休年龄的人员。</w:t>
      </w:r>
    </w:p>
    <w:p>
      <w:pPr>
        <w:pStyle w:val="4"/>
        <w:keepNext w:val="0"/>
        <w:keepLines w:val="0"/>
        <w:pageBreakBefore w:val="0"/>
        <w:kinsoku/>
        <w:wordWrap/>
        <w:overflowPunct/>
        <w:topLinePunct w:val="0"/>
        <w:bidi w:val="0"/>
        <w:snapToGrid/>
        <w:spacing w:line="544" w:lineRule="exact"/>
        <w:textAlignment w:val="auto"/>
        <w:rPr>
          <w:rFonts w:hint="default" w:eastAsia="仿宋_GB2312"/>
          <w:color w:val="auto"/>
          <w:lang w:val="en-US" w:eastAsia="zh-CN"/>
        </w:rPr>
      </w:pPr>
      <w:r>
        <w:rPr>
          <w:rFonts w:hint="eastAsia" w:ascii="仿宋_GB2312" w:hAnsi="仿宋_GB2312" w:eastAsia="仿宋_GB2312" w:cs="仿宋_GB2312"/>
          <w:b w:val="0"/>
          <w:bCs w:val="0"/>
          <w:color w:val="auto"/>
          <w:sz w:val="31"/>
          <w:szCs w:val="31"/>
          <w:lang w:val="en-US" w:eastAsia="zh-CN"/>
        </w:rPr>
        <w:t xml:space="preserve">    以上年龄及工作、学习等计算时间截止2023年6月30日。</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已获得“全国技术能手”“</w:t>
      </w:r>
      <w:r>
        <w:rPr>
          <w:rFonts w:hint="eastAsia" w:ascii="仿宋_GB2312" w:hAnsi="仿宋_GB2312" w:eastAsia="仿宋_GB2312" w:cs="仿宋_GB2312"/>
          <w:b w:val="0"/>
          <w:bCs w:val="0"/>
          <w:color w:val="auto"/>
          <w:sz w:val="32"/>
          <w:szCs w:val="32"/>
          <w:highlight w:val="none"/>
          <w:lang w:eastAsia="zh-CN"/>
        </w:rPr>
        <w:t>海南省</w:t>
      </w:r>
      <w:r>
        <w:rPr>
          <w:rFonts w:hint="eastAsia" w:ascii="仿宋_GB2312" w:hAnsi="仿宋_GB2312" w:eastAsia="仿宋_GB2312" w:cs="仿宋_GB2312"/>
          <w:b w:val="0"/>
          <w:bCs w:val="0"/>
          <w:color w:val="auto"/>
          <w:sz w:val="32"/>
          <w:szCs w:val="32"/>
          <w:highlight w:val="none"/>
        </w:rPr>
        <w:t>技术能手”称号</w:t>
      </w:r>
      <w:r>
        <w:rPr>
          <w:rFonts w:ascii="仿宋_GB2312" w:hAnsi="仿宋_GB2312" w:eastAsia="仿宋_GB2312" w:cs="仿宋_GB2312"/>
          <w:b w:val="0"/>
          <w:bCs w:val="0"/>
          <w:color w:val="auto"/>
          <w:sz w:val="31"/>
          <w:szCs w:val="31"/>
        </w:rPr>
        <w:t>及已获得相应申报资格的人员</w:t>
      </w:r>
      <w:r>
        <w:rPr>
          <w:rFonts w:hint="eastAsia" w:ascii="仿宋_GB2312" w:hAnsi="仿宋_GB2312" w:eastAsia="仿宋_GB2312" w:cs="仿宋_GB2312"/>
          <w:b w:val="0"/>
          <w:bCs w:val="0"/>
          <w:color w:val="auto"/>
          <w:sz w:val="31"/>
          <w:szCs w:val="31"/>
          <w:lang w:eastAsia="zh-CN"/>
        </w:rPr>
        <w:t>、</w:t>
      </w:r>
      <w:r>
        <w:rPr>
          <w:rFonts w:hint="eastAsia" w:ascii="仿宋_GB2312" w:hAnsi="仿宋_GB2312" w:eastAsia="仿宋_GB2312" w:cs="仿宋_GB2312"/>
          <w:b w:val="0"/>
          <w:bCs w:val="0"/>
          <w:color w:val="auto"/>
          <w:sz w:val="32"/>
          <w:szCs w:val="32"/>
          <w:highlight w:val="none"/>
        </w:rPr>
        <w:t>在2021年第三届全国邮政行业职业技能竞赛总决赛获得前3名的人员</w:t>
      </w:r>
      <w:r>
        <w:rPr>
          <w:rFonts w:hint="eastAsia" w:ascii="仿宋_GB2312" w:hAnsi="仿宋_GB2312" w:eastAsia="仿宋_GB2312" w:cs="仿宋_GB2312"/>
          <w:b w:val="0"/>
          <w:bCs w:val="0"/>
          <w:color w:val="auto"/>
          <w:sz w:val="32"/>
          <w:szCs w:val="32"/>
          <w:highlight w:val="none"/>
          <w:lang w:eastAsia="zh-CN"/>
        </w:rPr>
        <w:t>和</w:t>
      </w:r>
      <w:r>
        <w:rPr>
          <w:rFonts w:ascii="仿宋_GB2312" w:hAnsi="仿宋_GB2312" w:eastAsia="仿宋_GB2312" w:cs="仿宋_GB2312"/>
          <w:b w:val="0"/>
          <w:bCs w:val="0"/>
          <w:color w:val="auto"/>
          <w:sz w:val="31"/>
          <w:szCs w:val="31"/>
        </w:rPr>
        <w:t>在</w:t>
      </w:r>
      <w:r>
        <w:rPr>
          <w:rFonts w:hint="eastAsia" w:ascii="仿宋_GB2312" w:hAnsi="仿宋_GB2312" w:eastAsia="仿宋_GB2312" w:cs="仿宋_GB2312"/>
          <w:b w:val="0"/>
          <w:bCs w:val="0"/>
          <w:color w:val="auto"/>
          <w:sz w:val="31"/>
          <w:szCs w:val="31"/>
          <w:lang w:val="en-US" w:eastAsia="zh-CN"/>
        </w:rPr>
        <w:t>2022</w:t>
      </w:r>
      <w:r>
        <w:rPr>
          <w:rFonts w:ascii="仿宋_GB2312" w:hAnsi="仿宋_GB2312" w:eastAsia="仿宋_GB2312" w:cs="仿宋_GB2312"/>
          <w:b w:val="0"/>
          <w:bCs w:val="0"/>
          <w:color w:val="auto"/>
          <w:sz w:val="31"/>
          <w:szCs w:val="31"/>
        </w:rPr>
        <w:t>年各类技能竞赛中已获得金、银、铜奖的人员，不能以选手身份参加</w:t>
      </w:r>
      <w:r>
        <w:rPr>
          <w:rFonts w:hint="eastAsia" w:ascii="仿宋_GB2312" w:hAnsi="仿宋_GB2312" w:eastAsia="仿宋_GB2312" w:cs="仿宋_GB2312"/>
          <w:b w:val="0"/>
          <w:bCs w:val="0"/>
          <w:color w:val="auto"/>
          <w:sz w:val="31"/>
          <w:szCs w:val="31"/>
          <w:lang w:val="en-US" w:eastAsia="zh-CN"/>
        </w:rPr>
        <w:t>比</w:t>
      </w:r>
      <w:r>
        <w:rPr>
          <w:rFonts w:ascii="仿宋_GB2312" w:hAnsi="仿宋_GB2312" w:eastAsia="仿宋_GB2312" w:cs="仿宋_GB2312"/>
          <w:b w:val="0"/>
          <w:bCs w:val="0"/>
          <w:color w:val="auto"/>
          <w:sz w:val="31"/>
          <w:szCs w:val="31"/>
        </w:rPr>
        <w:t>赛。具有全日制学籍的在校创业学生不得以职工身份参赛。</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、竞赛内容</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本次竞赛职业（工种）为快递员、快件处理员。竞赛以《快递员国家职业标准（2019年版）》《快件处理员国家职业标准（2019年版）》</w:t>
      </w:r>
      <w:r>
        <w:rPr>
          <w:rFonts w:hint="eastAsia" w:ascii="仿宋_GB2312" w:hAnsi="仿宋_GB2312" w:eastAsia="仿宋_GB2312" w:cs="仿宋_GB2312"/>
          <w:color w:val="auto"/>
          <w:sz w:val="32"/>
          <w:szCs w:val="32"/>
          <w:lang w:eastAsia="zh-CN"/>
        </w:rPr>
        <w:t>四级</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eastAsia="zh-CN"/>
        </w:rPr>
        <w:t>中</w:t>
      </w:r>
      <w:r>
        <w:rPr>
          <w:rFonts w:hint="eastAsia" w:ascii="仿宋_GB2312" w:hAnsi="仿宋_GB2312" w:eastAsia="仿宋_GB2312" w:cs="仿宋_GB2312"/>
          <w:b w:val="0"/>
          <w:bCs w:val="0"/>
          <w:color w:val="auto"/>
          <w:sz w:val="32"/>
          <w:szCs w:val="32"/>
          <w:highlight w:val="none"/>
        </w:rPr>
        <w:t>级工</w:t>
      </w:r>
      <w:r>
        <w:rPr>
          <w:rFonts w:hint="eastAsia" w:ascii="仿宋_GB2312" w:hAnsi="仿宋_GB2312" w:eastAsia="仿宋_GB2312" w:cs="仿宋_GB2312"/>
          <w:b w:val="0"/>
          <w:bCs w:val="0"/>
          <w:color w:val="auto"/>
          <w:sz w:val="32"/>
          <w:szCs w:val="32"/>
          <w:highlight w:val="none"/>
          <w:lang w:eastAsia="zh-CN"/>
        </w:rPr>
        <w:t>及以上</w:t>
      </w:r>
      <w:r>
        <w:rPr>
          <w:rFonts w:hint="eastAsia" w:ascii="仿宋_GB2312" w:hAnsi="仿宋_GB2312" w:eastAsia="仿宋_GB2312" w:cs="仿宋_GB2312"/>
          <w:color w:val="auto"/>
          <w:sz w:val="32"/>
          <w:szCs w:val="32"/>
        </w:rPr>
        <w:t>的知识和技能要求为基础，适当增加相关新知识、新技术、新技能等内容。</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职业竞赛包括理论知识竞赛、</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操作竞赛两部分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理论知识占</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，技能操作占</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操作竞赛</w:t>
      </w:r>
      <w:r>
        <w:rPr>
          <w:rFonts w:hint="eastAsia" w:ascii="仿宋_GB2312" w:hAnsi="仿宋_GB2312" w:eastAsia="仿宋_GB2312" w:cs="仿宋_GB2312"/>
          <w:color w:val="auto"/>
          <w:sz w:val="32"/>
          <w:szCs w:val="32"/>
          <w:lang w:eastAsia="zh-CN"/>
        </w:rPr>
        <w:t>分为</w:t>
      </w:r>
      <w:r>
        <w:rPr>
          <w:rFonts w:hint="eastAsia" w:ascii="仿宋_GB2312" w:hAnsi="仿宋_GB2312" w:eastAsia="仿宋_GB2312" w:cs="仿宋_GB2312"/>
          <w:color w:val="auto"/>
          <w:sz w:val="32"/>
          <w:szCs w:val="32"/>
        </w:rPr>
        <w:t>快递员职业</w:t>
      </w:r>
      <w:r>
        <w:rPr>
          <w:rFonts w:hint="eastAsia" w:ascii="仿宋_GB2312" w:hAnsi="仿宋_GB2312" w:eastAsia="仿宋_GB2312" w:cs="仿宋_GB2312"/>
          <w:color w:val="auto"/>
          <w:sz w:val="32"/>
          <w:szCs w:val="32"/>
          <w:lang w:eastAsia="zh-CN"/>
        </w:rPr>
        <w:t>竞赛及快件处理员职业竞赛两种类型：</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快递员职业</w:t>
      </w:r>
      <w:r>
        <w:rPr>
          <w:rFonts w:hint="eastAsia" w:ascii="仿宋_GB2312" w:hAnsi="仿宋_GB2312" w:eastAsia="仿宋_GB2312" w:cs="仿宋_GB2312"/>
          <w:color w:val="auto"/>
          <w:sz w:val="32"/>
          <w:szCs w:val="32"/>
          <w:lang w:eastAsia="zh-CN"/>
        </w:rPr>
        <w:t>竞赛</w:t>
      </w:r>
      <w:r>
        <w:rPr>
          <w:rFonts w:hint="eastAsia" w:ascii="仿宋_GB2312" w:hAnsi="仿宋_GB2312" w:eastAsia="仿宋_GB2312" w:cs="仿宋_GB2312"/>
          <w:color w:val="auto"/>
          <w:sz w:val="32"/>
          <w:szCs w:val="32"/>
        </w:rPr>
        <w:t>设多物品收寄、派送路线设计、智能快件箱操作</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w:t>
      </w:r>
      <w:r>
        <w:rPr>
          <w:rFonts w:hint="eastAsia" w:ascii="仿宋_GB2312" w:hAnsi="仿宋_GB2312" w:eastAsia="仿宋_GB2312" w:cs="仿宋_GB2312"/>
          <w:color w:val="auto"/>
          <w:sz w:val="32"/>
          <w:szCs w:val="32"/>
        </w:rPr>
        <w:t>赛项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快件处理员职业竞赛设总包接收处理、快件分拣、</w:t>
      </w:r>
      <w:r>
        <w:rPr>
          <w:rFonts w:hint="default" w:ascii="仿宋_GB2312" w:hAnsi="仿宋_GB2312" w:eastAsia="仿宋_GB2312" w:cs="仿宋_GB2312"/>
          <w:color w:val="auto"/>
          <w:sz w:val="32"/>
          <w:szCs w:val="32"/>
          <w:lang w:val="en-US" w:eastAsia="zh-CN"/>
        </w:rPr>
        <w:t>快件安检（模拟）</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个赛项。</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、成绩评定</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个人综合成绩由理论知识竞赛、</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操作竞赛两部分成绩组成。理论知识竞赛和</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操作竞赛满分均为</w:t>
      </w:r>
      <w:r>
        <w:rPr>
          <w:rFonts w:hint="eastAsia" w:ascii="仿宋_GB2312" w:hAnsi="仿宋_GB2312" w:eastAsia="仿宋_GB2312" w:cs="仿宋_GB2312"/>
          <w:b w:val="0"/>
          <w:bCs w:val="0"/>
          <w:color w:val="auto"/>
          <w:sz w:val="32"/>
          <w:szCs w:val="32"/>
          <w:highlight w:val="none"/>
        </w:rPr>
        <w:t>100分，其中理论知识成绩占总成绩</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操作成绩占总成绩的</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b w:val="0"/>
          <w:bCs w:val="0"/>
          <w:color w:val="auto"/>
          <w:sz w:val="32"/>
          <w:szCs w:val="32"/>
          <w:highlight w:val="none"/>
        </w:rPr>
        <w:t>两项均达到60分为合格</w:t>
      </w:r>
      <w:r>
        <w:rPr>
          <w:rFonts w:hint="eastAsia" w:ascii="仿宋_GB2312" w:hAnsi="仿宋_GB2312" w:eastAsia="仿宋_GB2312" w:cs="仿宋_GB2312"/>
          <w:b w:val="0"/>
          <w:bCs w:val="0"/>
          <w:color w:val="auto"/>
          <w:sz w:val="32"/>
          <w:szCs w:val="32"/>
          <w:highlight w:val="none"/>
          <w:lang w:eastAsia="zh-CN"/>
        </w:rPr>
        <w:t>，分数合格以上才能参与总成绩排名及奖项确定，原则上排名不并列</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依据总成绩高低排出个人名次，当总成绩相同时，以</w:t>
      </w:r>
      <w:r>
        <w:rPr>
          <w:rFonts w:hint="eastAsia" w:ascii="仿宋_GB2312" w:hAnsi="仿宋_GB2312" w:eastAsia="仿宋_GB2312" w:cs="仿宋_GB2312"/>
          <w:color w:val="auto"/>
          <w:sz w:val="32"/>
          <w:szCs w:val="32"/>
          <w:lang w:eastAsia="zh-CN"/>
        </w:rPr>
        <w:t>技能</w:t>
      </w:r>
      <w:r>
        <w:rPr>
          <w:rFonts w:hint="eastAsia" w:ascii="仿宋_GB2312" w:hAnsi="仿宋_GB2312" w:eastAsia="仿宋_GB2312" w:cs="仿宋_GB2312"/>
          <w:color w:val="auto"/>
          <w:sz w:val="32"/>
          <w:szCs w:val="32"/>
        </w:rPr>
        <w:t>操作成绩高者为先。</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、奖项设置</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（一）奖项设置</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1.金、银、铜奖和优胜奖。</w:t>
      </w:r>
      <w:r>
        <w:rPr>
          <w:rFonts w:hint="eastAsia" w:ascii="仿宋_GB2312" w:hAnsi="仿宋_GB2312" w:eastAsia="仿宋_GB2312" w:cs="仿宋_GB2312"/>
          <w:b w:val="0"/>
          <w:bCs w:val="0"/>
          <w:color w:val="auto"/>
          <w:sz w:val="32"/>
          <w:szCs w:val="32"/>
          <w:highlight w:val="none"/>
          <w:lang w:eastAsia="zh-CN"/>
        </w:rPr>
        <w:t>竞赛根据参赛人员职业（工种）分别设金、银、铜奖和优胜奖。</w:t>
      </w:r>
      <w:r>
        <w:rPr>
          <w:rFonts w:hint="eastAsia" w:ascii="仿宋_GB2312" w:hAnsi="仿宋_GB2312" w:eastAsia="仿宋_GB2312" w:cs="仿宋_GB2312"/>
          <w:b w:val="0"/>
          <w:bCs w:val="0"/>
          <w:color w:val="auto"/>
          <w:sz w:val="32"/>
          <w:szCs w:val="32"/>
          <w:shd w:val="clear" w:color="auto" w:fill="FFFFFF"/>
        </w:rPr>
        <w:t>对各竞赛</w:t>
      </w:r>
      <w:r>
        <w:rPr>
          <w:rFonts w:hint="eastAsia" w:ascii="仿宋_GB2312" w:hAnsi="仿宋_GB2312" w:eastAsia="仿宋_GB2312" w:cs="仿宋_GB2312"/>
          <w:b w:val="0"/>
          <w:bCs w:val="0"/>
          <w:color w:val="auto"/>
          <w:sz w:val="32"/>
          <w:szCs w:val="32"/>
          <w:shd w:val="clear" w:color="auto" w:fill="FFFFFF"/>
          <w:lang w:val="en-US" w:eastAsia="zh-CN"/>
        </w:rPr>
        <w:t>职业（工种）</w:t>
      </w:r>
      <w:r>
        <w:rPr>
          <w:rStyle w:val="5"/>
          <w:rFonts w:hint="eastAsia" w:ascii="仿宋_GB2312" w:hAnsi="仿宋_GB2312" w:eastAsia="仿宋_GB2312" w:cs="仿宋_GB2312"/>
          <w:b w:val="0"/>
          <w:bCs w:val="0"/>
          <w:i w:val="0"/>
          <w:caps w:val="0"/>
          <w:color w:val="auto"/>
          <w:spacing w:val="0"/>
          <w:w w:val="100"/>
          <w:kern w:val="2"/>
          <w:sz w:val="32"/>
          <w:szCs w:val="32"/>
          <w:lang w:val="en-US" w:eastAsia="zh-CN" w:bidi="ar-SA"/>
        </w:rPr>
        <w:t>综合成绩</w:t>
      </w:r>
      <w:r>
        <w:rPr>
          <w:rFonts w:hint="eastAsia" w:ascii="仿宋_GB2312" w:hAnsi="仿宋_GB2312" w:eastAsia="仿宋_GB2312" w:cs="仿宋_GB2312"/>
          <w:b w:val="0"/>
          <w:bCs w:val="0"/>
          <w:color w:val="auto"/>
          <w:sz w:val="32"/>
          <w:szCs w:val="32"/>
          <w:shd w:val="clear" w:color="auto" w:fill="FFFFFF"/>
        </w:rPr>
        <w:t>排名前3名的选手，</w:t>
      </w:r>
      <w:r>
        <w:rPr>
          <w:rFonts w:hint="eastAsia" w:ascii="仿宋_GB2312" w:hAnsi="仿宋_GB2312" w:eastAsia="仿宋_GB2312" w:cs="仿宋_GB2312"/>
          <w:b w:val="0"/>
          <w:bCs w:val="0"/>
          <w:color w:val="auto"/>
          <w:sz w:val="32"/>
          <w:szCs w:val="32"/>
          <w:lang w:val="en-US" w:eastAsia="zh-CN"/>
        </w:rPr>
        <w:t>对应颁发金、银、铜奖；</w:t>
      </w:r>
      <w:r>
        <w:rPr>
          <w:rFonts w:hint="eastAsia" w:ascii="仿宋_GB2312" w:hAnsi="宋体" w:eastAsia="仿宋_GB2312" w:cstheme="minorBidi"/>
          <w:b w:val="0"/>
          <w:bCs w:val="0"/>
          <w:color w:val="auto"/>
          <w:kern w:val="2"/>
          <w:sz w:val="32"/>
          <w:szCs w:val="32"/>
          <w:lang w:val="en-US" w:eastAsia="zh-CN" w:bidi="ar-SA"/>
        </w:rPr>
        <w:t>对前3名以外但排名在该竞赛职业（工种）决赛总人数二分之一以上的选手颁发优胜奖。</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2.团体奖。设2名，</w:t>
      </w:r>
      <w:r>
        <w:rPr>
          <w:rFonts w:hint="eastAsia" w:ascii="仿宋_GB2312" w:hAnsi="仿宋_GB2312" w:eastAsia="仿宋_GB2312" w:cs="仿宋_GB2312"/>
          <w:b w:val="0"/>
          <w:bCs w:val="0"/>
          <w:color w:val="auto"/>
          <w:sz w:val="32"/>
          <w:szCs w:val="32"/>
          <w:highlight w:val="none"/>
          <w:lang w:eastAsia="zh-CN"/>
        </w:rPr>
        <w:t>颁发给</w:t>
      </w:r>
      <w:r>
        <w:rPr>
          <w:rFonts w:hint="eastAsia" w:ascii="仿宋_GB2312" w:hAnsi="仿宋_GB2312" w:eastAsia="仿宋_GB2312" w:cs="仿宋_GB2312"/>
          <w:b w:val="0"/>
          <w:bCs w:val="0"/>
          <w:color w:val="auto"/>
          <w:sz w:val="32"/>
          <w:szCs w:val="32"/>
          <w:highlight w:val="none"/>
        </w:rPr>
        <w:t>参赛代表队（</w:t>
      </w:r>
      <w:r>
        <w:rPr>
          <w:rFonts w:hint="default" w:ascii="仿宋_GB2312" w:hAnsi="仿宋_GB2312" w:eastAsia="仿宋_GB2312" w:cs="仿宋_GB2312"/>
          <w:b w:val="0"/>
          <w:bCs w:val="0"/>
          <w:color w:val="auto"/>
          <w:sz w:val="32"/>
          <w:szCs w:val="32"/>
          <w:highlight w:val="none"/>
          <w:lang w:val="en-US"/>
        </w:rPr>
        <w:t>企业</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原则上取每支参赛队成绩最好的前3名选手</w:t>
      </w:r>
      <w:r>
        <w:rPr>
          <w:rFonts w:hint="eastAsia" w:ascii="仿宋_GB2312" w:hAnsi="仿宋_GB2312" w:eastAsia="仿宋_GB2312" w:cs="仿宋_GB2312"/>
          <w:b w:val="0"/>
          <w:bCs w:val="0"/>
          <w:color w:val="auto"/>
          <w:sz w:val="32"/>
          <w:szCs w:val="32"/>
          <w:highlight w:val="none"/>
          <w:lang w:eastAsia="zh-CN"/>
        </w:rPr>
        <w:t>成绩</w:t>
      </w:r>
      <w:r>
        <w:rPr>
          <w:rFonts w:hint="eastAsia" w:ascii="仿宋_GB2312" w:hAnsi="仿宋_GB2312" w:eastAsia="仿宋_GB2312" w:cs="仿宋_GB2312"/>
          <w:b w:val="0"/>
          <w:bCs w:val="0"/>
          <w:color w:val="auto"/>
          <w:sz w:val="32"/>
          <w:szCs w:val="32"/>
          <w:highlight w:val="none"/>
        </w:rPr>
        <w:t>综合评定</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3.优秀组织奖。设2名，根据各参赛队选手的综合表现等情况由裁判组推荐产生。</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val="0"/>
          <w:color w:val="auto"/>
          <w:sz w:val="32"/>
          <w:szCs w:val="32"/>
        </w:rPr>
        <w:t>4.精神文明奖。设2名，根据</w:t>
      </w:r>
      <w:r>
        <w:rPr>
          <w:rFonts w:hint="eastAsia" w:ascii="仿宋_GB2312" w:hAnsi="仿宋_GB2312" w:eastAsia="仿宋_GB2312" w:cs="仿宋_GB2312"/>
          <w:color w:val="auto"/>
          <w:sz w:val="32"/>
          <w:szCs w:val="32"/>
        </w:rPr>
        <w:t>各参赛队选手的精神风貌、文明操作等情况由裁判组推荐产生。</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（二）表彰与奖励</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1.所有获奖选手或团体由主办单位颁发荣誉证书或奖牌。</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对获得各竞赛职业（工种）金、银、铜奖选手，分别颁发3000元（含税）、2000元（含税）、1000元（含税）人民币的奖金奖励。</w:t>
      </w:r>
      <w:r>
        <w:rPr>
          <w:rFonts w:hint="eastAsia" w:ascii="仿宋_GB2312" w:hAnsi="仿宋_GB2312" w:eastAsia="仿宋_GB2312" w:cs="仿宋_GB2312"/>
          <w:color w:val="auto"/>
          <w:sz w:val="32"/>
          <w:szCs w:val="32"/>
          <w:lang w:eastAsia="zh-CN"/>
        </w:rPr>
        <w:t>对获得团体奖、优秀组织奖、精神文明奖参赛代表队（</w:t>
      </w:r>
      <w:r>
        <w:rPr>
          <w:rFonts w:hint="default"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分别颁发</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000元（含税）人民币的奖金奖励。</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.晋升职业技能等级。</w:t>
      </w:r>
      <w:r>
        <w:rPr>
          <w:rFonts w:hint="eastAsia" w:ascii="仿宋_GB2312" w:hAnsi="仿宋_GB2312" w:eastAsia="仿宋_GB2312" w:cs="仿宋_GB2312"/>
          <w:b w:val="0"/>
          <w:bCs w:val="0"/>
          <w:color w:val="auto"/>
          <w:sz w:val="32"/>
          <w:szCs w:val="32"/>
          <w:highlight w:val="none"/>
        </w:rPr>
        <w:t>金、银、铜奖选手可直接晋升高级工（三级职业技能等级），优胜奖以上选手可直接晋升中级工（四级职业技能等级），已具有中级工（四级职业技能等级）的可晋升高级工（三级职业技能等级）。</w:t>
      </w:r>
      <w:r>
        <w:rPr>
          <w:rFonts w:hint="eastAsia" w:ascii="仿宋_GB2312" w:hAnsi="仿宋_GB2312" w:eastAsia="仿宋_GB2312" w:cs="仿宋_GB2312"/>
          <w:color w:val="auto"/>
          <w:sz w:val="32"/>
          <w:szCs w:val="32"/>
          <w:lang w:val="en-US" w:eastAsia="zh-CN"/>
        </w:rPr>
        <w:t>选手在同一年度参加同一级别、同一职业（工种）的竞赛，不能连续晋升职业资格或职业技能等级。</w:t>
      </w:r>
      <w:r>
        <w:rPr>
          <w:rFonts w:hint="eastAsia" w:ascii="仿宋_GB2312" w:hAnsi="仿宋_GB2312" w:eastAsia="仿宋_GB2312" w:cs="仿宋_GB2312"/>
          <w:b w:val="0"/>
          <w:bCs w:val="0"/>
          <w:color w:val="auto"/>
          <w:sz w:val="32"/>
          <w:szCs w:val="32"/>
          <w:highlight w:val="none"/>
        </w:rPr>
        <w:t>晋升职业资格（职业技能等级）的证书</w:t>
      </w:r>
      <w:r>
        <w:rPr>
          <w:rFonts w:hint="eastAsia" w:ascii="仿宋_GB2312" w:hAnsi="仿宋_GB2312" w:eastAsia="仿宋_GB2312" w:cs="仿宋_GB2312"/>
          <w:b w:val="0"/>
          <w:bCs w:val="0"/>
          <w:color w:val="auto"/>
          <w:sz w:val="32"/>
          <w:szCs w:val="32"/>
          <w:highlight w:val="none"/>
          <w:lang w:eastAsia="zh-CN"/>
        </w:rPr>
        <w:t>由</w:t>
      </w:r>
      <w:r>
        <w:rPr>
          <w:rFonts w:hint="eastAsia" w:ascii="仿宋_GB2312" w:hAnsi="仿宋_GB2312" w:eastAsia="仿宋_GB2312" w:cs="仿宋_GB2312"/>
          <w:color w:val="auto"/>
          <w:sz w:val="32"/>
          <w:szCs w:val="32"/>
          <w:lang w:val="en-US" w:eastAsia="zh-CN"/>
        </w:rPr>
        <w:t>海口市职业培训和技能鉴定管理中心</w:t>
      </w:r>
      <w:r>
        <w:rPr>
          <w:rFonts w:hint="eastAsia" w:ascii="仿宋_GB2312" w:hAnsi="仿宋_GB2312" w:eastAsia="仿宋_GB2312" w:cs="仿宋_GB2312"/>
          <w:b w:val="0"/>
          <w:bCs w:val="0"/>
          <w:color w:val="auto"/>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所有奖牌、荣誉证书以竞赛组委会名义由组委会制作颁发</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荣誉证书加盖组委会公章（主办单位代章）。</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时间安排</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（一）竞赛培训（</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月上旬）</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竞赛技术方案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组织邮政快递企业参与竞赛培训，做好组织发动、赛前培训工作。</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lang w:val="en-US" w:eastAsia="zh-CN"/>
        </w:rPr>
        <w:t>企业选拔赛</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7</w:t>
      </w:r>
      <w:r>
        <w:rPr>
          <w:rFonts w:hint="eastAsia" w:ascii="楷体" w:hAnsi="楷体" w:eastAsia="楷体" w:cs="楷体"/>
          <w:color w:val="auto"/>
          <w:sz w:val="32"/>
          <w:szCs w:val="32"/>
        </w:rPr>
        <w:t>月上旬）</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邮政快递企业积极发动基层从业人员踊跃参赛，精心组织开展企业内部</w:t>
      </w:r>
      <w:r>
        <w:rPr>
          <w:rFonts w:hint="eastAsia" w:ascii="仿宋_GB2312" w:hAnsi="仿宋_GB2312" w:eastAsia="仿宋_GB2312" w:cs="仿宋_GB2312"/>
          <w:color w:val="auto"/>
          <w:sz w:val="32"/>
          <w:szCs w:val="32"/>
          <w:lang w:eastAsia="zh-CN"/>
        </w:rPr>
        <w:t>选拔</w:t>
      </w:r>
      <w:r>
        <w:rPr>
          <w:rFonts w:hint="eastAsia" w:ascii="仿宋_GB2312" w:hAnsi="仿宋_GB2312" w:eastAsia="仿宋_GB2312" w:cs="仿宋_GB2312"/>
          <w:color w:val="auto"/>
          <w:sz w:val="32"/>
          <w:szCs w:val="32"/>
        </w:rPr>
        <w:t>赛</w:t>
      </w:r>
      <w:r>
        <w:rPr>
          <w:rFonts w:hint="default" w:ascii="仿宋_GB2312" w:hAnsi="仿宋_GB2312" w:eastAsia="仿宋_GB2312" w:cs="仿宋_GB2312"/>
          <w:color w:val="auto"/>
          <w:sz w:val="32"/>
          <w:szCs w:val="32"/>
          <w:lang w:val="en-US"/>
        </w:rPr>
        <w:t>，有效覆盖全体一线从业人员。</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（三）海口市竞赛（7月中旬）</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举办海口市邮政行业职业技能大赛，原则上每个品牌企业选派3-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名选手组成</w:t>
      </w:r>
      <w:r>
        <w:rPr>
          <w:rFonts w:hint="eastAsia" w:ascii="仿宋_GB2312" w:hAnsi="仿宋_GB2312" w:eastAsia="仿宋_GB2312" w:cs="仿宋_GB2312"/>
          <w:color w:val="auto"/>
          <w:sz w:val="32"/>
          <w:szCs w:val="32"/>
          <w:lang w:eastAsia="zh-CN"/>
        </w:rPr>
        <w:t>队伍</w:t>
      </w:r>
      <w:r>
        <w:rPr>
          <w:rFonts w:hint="eastAsia" w:ascii="仿宋_GB2312" w:hAnsi="仿宋_GB2312" w:eastAsia="仿宋_GB2312" w:cs="仿宋_GB2312"/>
          <w:color w:val="auto"/>
          <w:sz w:val="32"/>
          <w:szCs w:val="32"/>
        </w:rPr>
        <w:t>参加比赛。</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lang w:val="en-US" w:eastAsia="zh-CN"/>
        </w:rPr>
        <w:t>参加</w:t>
      </w:r>
      <w:r>
        <w:rPr>
          <w:rFonts w:hint="eastAsia" w:ascii="楷体" w:hAnsi="楷体" w:eastAsia="楷体" w:cs="楷体"/>
          <w:color w:val="auto"/>
          <w:sz w:val="32"/>
          <w:szCs w:val="32"/>
          <w:lang w:eastAsia="zh-CN"/>
        </w:rPr>
        <w:t>海南省竞赛（</w:t>
      </w:r>
      <w:r>
        <w:rPr>
          <w:rFonts w:hint="eastAsia" w:ascii="楷体" w:hAnsi="楷体" w:eastAsia="楷体" w:cs="楷体"/>
          <w:color w:val="auto"/>
          <w:sz w:val="32"/>
          <w:szCs w:val="32"/>
          <w:lang w:val="en-US" w:eastAsia="zh-CN"/>
        </w:rPr>
        <w:t>时间待定</w:t>
      </w:r>
      <w:r>
        <w:rPr>
          <w:rFonts w:hint="eastAsia" w:ascii="楷体" w:hAnsi="楷体" w:eastAsia="楷体" w:cs="楷体"/>
          <w:color w:val="auto"/>
          <w:sz w:val="32"/>
          <w:szCs w:val="32"/>
          <w:lang w:eastAsia="zh-CN"/>
        </w:rPr>
        <w:t>）</w:t>
      </w:r>
    </w:p>
    <w:p>
      <w:pPr>
        <w:pStyle w:val="4"/>
        <w:keepNext w:val="0"/>
        <w:keepLines w:val="0"/>
        <w:pageBreakBefore w:val="0"/>
        <w:kinsoku/>
        <w:wordWrap/>
        <w:overflowPunct/>
        <w:topLinePunct w:val="0"/>
        <w:bidi w:val="0"/>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视综合比赛成绩等情况，</w:t>
      </w:r>
      <w:r>
        <w:rPr>
          <w:rFonts w:hint="eastAsia" w:ascii="仿宋_GB2312" w:hAnsi="仿宋_GB2312" w:eastAsia="仿宋_GB2312" w:cs="仿宋_GB2312"/>
          <w:color w:val="auto"/>
          <w:sz w:val="32"/>
          <w:szCs w:val="32"/>
          <w:lang w:val="en-US" w:eastAsia="zh-CN"/>
        </w:rPr>
        <w:t>每个竞赛职业（工种）</w:t>
      </w: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联合</w:t>
      </w:r>
      <w:r>
        <w:rPr>
          <w:rFonts w:hint="eastAsia" w:ascii="仿宋_GB2312" w:hAnsi="仿宋_GB2312" w:eastAsia="仿宋_GB2312" w:cs="仿宋_GB2312"/>
          <w:color w:val="auto"/>
          <w:sz w:val="32"/>
          <w:szCs w:val="32"/>
        </w:rPr>
        <w:t>参赛队参加海南省邮政行业职业技能大赛。</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经费来源</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此次竞赛经费由海口市总工会、海口市邮政管理局、海口市职业培训和技能鉴定管理中心共同承担。</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rPr>
        <w:t>、工作要求</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（一）邮政快递企业要高度重视、精心组织，积极发动本企业员工踊跃参赛。所有参赛选手均需通过资格审查后确定参赛资格。报名结束后，各参赛队原则上不得更换参赛选手。</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（二）每支参赛队可配技术指导1名，技术指导经报名并通过资格审查确定后，原则上不再更换。</w:t>
      </w:r>
    </w:p>
    <w:p>
      <w:pPr>
        <w:keepNext w:val="0"/>
        <w:keepLines w:val="0"/>
        <w:pageBreakBefore w:val="0"/>
        <w:widowControl w:val="0"/>
        <w:kinsoku/>
        <w:wordWrap/>
        <w:overflowPunct/>
        <w:topLinePunct w:val="0"/>
        <w:autoSpaceDE/>
        <w:autoSpaceDN/>
        <w:bidi w:val="0"/>
        <w:adjustRightInd/>
        <w:snapToGrid/>
        <w:spacing w:line="54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（三）参赛选手须提供个人真实身份证明，凡弄虚作假、冒名顶替者，一经核实将取消选手本人及所在参赛队该项目的比赛资格。各参赛队需统一着装。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628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仿宋" w:hAnsi="仿宋" w:eastAsia="仿宋" w:cs="Times New Roman"/>
      <w:color w:val="000000"/>
      <w:sz w:val="24"/>
      <w:szCs w:val="22"/>
      <w:lang w:val="en-US" w:eastAsia="zh-CN" w:bidi="ar-SA"/>
    </w:rPr>
  </w:style>
  <w:style w:type="character" w:customStyle="1" w:styleId="5">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2023-07-11T08:57:04Z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