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360" w:lineRule="auto"/>
        <w:rPr>
          <w:rFonts w:hint="eastAsia" w:ascii="宋体" w:hAnsi="宋体"/>
          <w:szCs w:val="28"/>
        </w:rPr>
      </w:pPr>
      <w:r>
        <w:rPr>
          <w:rFonts w:hint="eastAsia" w:ascii="宋体" w:hAnsi="宋体"/>
          <w:szCs w:val="28"/>
        </w:rPr>
        <w:t>婴幼儿早期教育指导专项职业能力考核规范</w:t>
      </w:r>
    </w:p>
    <w:p>
      <w:pPr>
        <w:rPr>
          <w:rFonts w:ascii="仿宋" w:hAnsi="仿宋" w:eastAsia="仿宋"/>
          <w:sz w:val="28"/>
          <w:szCs w:val="28"/>
        </w:rPr>
      </w:pPr>
    </w:p>
    <w:p>
      <w:pPr>
        <w:pStyle w:val="5"/>
        <w:spacing w:line="360" w:lineRule="auto"/>
        <w:ind w:firstLine="562"/>
        <w:rPr>
          <w:rFonts w:ascii="仿宋" w:hAnsi="仿宋"/>
          <w:szCs w:val="28"/>
        </w:rPr>
      </w:pPr>
      <w:r>
        <w:rPr>
          <w:rFonts w:hint="eastAsia" w:ascii="仿宋" w:hAnsi="仿宋"/>
          <w:szCs w:val="28"/>
        </w:rPr>
        <w:t>一、定义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both"/>
        <w:textAlignment w:val="center"/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掌握0--3岁婴幼儿的身心发展特点及入户早教流程，并能合理使用早期教育教具，具备对0到3岁婴幼儿进行系统的、科学的、符合发展规律的专业能力指导。</w:t>
      </w:r>
    </w:p>
    <w:p>
      <w:pPr>
        <w:spacing w:line="360" w:lineRule="auto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二、适用对象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both"/>
        <w:textAlignment w:val="center"/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运用或准备运用本项能力求职、就业的人员。</w:t>
      </w:r>
    </w:p>
    <w:p>
      <w:pPr>
        <w:spacing w:line="360" w:lineRule="auto"/>
        <w:ind w:firstLine="562" w:firstLineChars="20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三、能力标准与鉴定内容</w:t>
      </w:r>
    </w:p>
    <w:tbl>
      <w:tblPr>
        <w:tblStyle w:val="7"/>
        <w:tblW w:w="98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3827"/>
        <w:gridCol w:w="3260"/>
        <w:gridCol w:w="10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</w:trPr>
        <w:tc>
          <w:tcPr>
            <w:tcW w:w="9854" w:type="dxa"/>
            <w:gridSpan w:val="4"/>
            <w:vAlign w:val="center"/>
          </w:tcPr>
          <w:p>
            <w:pPr>
              <w:spacing w:line="360" w:lineRule="auto"/>
              <w:rPr>
                <w:rFonts w:ascii="仿宋" w:hAnsi="仿宋" w:eastAsia="仿宋" w:cstheme="minorEastAsia"/>
                <w:b/>
                <w:sz w:val="24"/>
                <w:szCs w:val="28"/>
              </w:rPr>
            </w:pPr>
            <w:r>
              <w:rPr>
                <w:rFonts w:hint="eastAsia" w:ascii="仿宋" w:hAnsi="仿宋" w:eastAsia="仿宋" w:cstheme="minorEastAsia"/>
                <w:b/>
                <w:sz w:val="24"/>
                <w:szCs w:val="28"/>
              </w:rPr>
              <w:t>能力名称：婴幼儿早期教育指导                              职业领域：早期教育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668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theme="minorEastAsia"/>
                <w:b/>
                <w:sz w:val="24"/>
                <w:szCs w:val="28"/>
              </w:rPr>
            </w:pPr>
            <w:r>
              <w:rPr>
                <w:rFonts w:hint="eastAsia" w:ascii="仿宋" w:hAnsi="仿宋" w:eastAsia="仿宋" w:cstheme="minorEastAsia"/>
                <w:b/>
                <w:sz w:val="24"/>
                <w:szCs w:val="28"/>
              </w:rPr>
              <w:t>工作任务</w:t>
            </w:r>
          </w:p>
        </w:tc>
        <w:tc>
          <w:tcPr>
            <w:tcW w:w="3827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theme="minorEastAsia"/>
                <w:b/>
                <w:sz w:val="24"/>
                <w:szCs w:val="28"/>
              </w:rPr>
            </w:pPr>
            <w:r>
              <w:rPr>
                <w:rFonts w:hint="eastAsia" w:ascii="仿宋" w:hAnsi="仿宋" w:eastAsia="仿宋" w:cstheme="minorEastAsia"/>
                <w:b/>
                <w:sz w:val="24"/>
                <w:szCs w:val="28"/>
              </w:rPr>
              <w:t>操作规范</w:t>
            </w:r>
          </w:p>
        </w:tc>
        <w:tc>
          <w:tcPr>
            <w:tcW w:w="3260" w:type="dxa"/>
            <w:vAlign w:val="center"/>
          </w:tcPr>
          <w:p>
            <w:pPr>
              <w:spacing w:line="360" w:lineRule="auto"/>
              <w:jc w:val="center"/>
              <w:rPr>
                <w:rFonts w:ascii="仿宋" w:hAnsi="仿宋" w:eastAsia="仿宋" w:cstheme="minorEastAsia"/>
                <w:b/>
                <w:sz w:val="24"/>
                <w:szCs w:val="28"/>
              </w:rPr>
            </w:pPr>
            <w:r>
              <w:rPr>
                <w:rFonts w:hint="eastAsia" w:ascii="仿宋" w:hAnsi="仿宋" w:eastAsia="仿宋" w:cstheme="minorEastAsia"/>
                <w:b/>
                <w:sz w:val="24"/>
                <w:szCs w:val="28"/>
              </w:rPr>
              <w:t>相关知识</w:t>
            </w:r>
          </w:p>
        </w:tc>
        <w:tc>
          <w:tcPr>
            <w:tcW w:w="1099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theme="minorEastAsia"/>
                <w:b/>
                <w:sz w:val="24"/>
                <w:szCs w:val="28"/>
              </w:rPr>
            </w:pPr>
            <w:r>
              <w:rPr>
                <w:rFonts w:hint="eastAsia" w:ascii="仿宋" w:hAnsi="仿宋" w:eastAsia="仿宋" w:cstheme="minorEastAsia"/>
                <w:b/>
                <w:sz w:val="24"/>
                <w:szCs w:val="28"/>
              </w:rPr>
              <w:t>考核</w:t>
            </w:r>
          </w:p>
          <w:p>
            <w:pPr>
              <w:spacing w:line="360" w:lineRule="auto"/>
              <w:jc w:val="center"/>
              <w:rPr>
                <w:rFonts w:ascii="仿宋" w:hAnsi="仿宋" w:eastAsia="仿宋" w:cstheme="minorEastAsia"/>
                <w:b/>
                <w:sz w:val="24"/>
                <w:szCs w:val="28"/>
              </w:rPr>
            </w:pPr>
            <w:r>
              <w:rPr>
                <w:rFonts w:hint="eastAsia" w:ascii="仿宋" w:hAnsi="仿宋" w:eastAsia="仿宋" w:cstheme="minorEastAsia"/>
                <w:b/>
                <w:sz w:val="24"/>
                <w:szCs w:val="28"/>
              </w:rPr>
              <w:t>比重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4" w:hRule="atLeast"/>
        </w:trPr>
        <w:tc>
          <w:tcPr>
            <w:tcW w:w="16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bookmarkStart w:id="0" w:name="_GoBack" w:colFirst="0" w:colLast="0"/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（一）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婴幼儿运动能力训练</w:t>
            </w:r>
          </w:p>
        </w:tc>
        <w:tc>
          <w:tcPr>
            <w:tcW w:w="38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1.能够为婴幼儿进行抬头与翻身游戏练习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2.能够为婴幼儿进行坐与爬游戏练习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3.能够为婴幼儿进行站立与行走游戏练习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4.能够为婴幼儿进行跑跳游戏练习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5.能为婴幼儿进行精细动作的游戏</w:t>
            </w:r>
          </w:p>
        </w:tc>
        <w:tc>
          <w:tcPr>
            <w:tcW w:w="32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1.熟悉婴幼儿粗大动作发展的基本顺序与作用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2.掌握婴幼儿粗大动作练习的内容与方法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3.熟悉婴幼儿粗大动作练习的注意事项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4.熟悉婴幼儿精细动作发展的基本顺序和规律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5.掌握婴幼儿精细动作练习的内容与方法</w:t>
            </w:r>
          </w:p>
        </w:tc>
        <w:tc>
          <w:tcPr>
            <w:tcW w:w="10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80" w:firstLineChars="200"/>
              <w:jc w:val="both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16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（二）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婴幼儿听和说能力训练</w:t>
            </w:r>
          </w:p>
        </w:tc>
        <w:tc>
          <w:tcPr>
            <w:tcW w:w="38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1.能够与婴幼儿一起玩指认游戏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2.能够为婴幼儿念儿歌、童谣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3.能够为婴幼儿讲故事</w:t>
            </w:r>
          </w:p>
        </w:tc>
        <w:tc>
          <w:tcPr>
            <w:tcW w:w="32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1.熟悉婴幼儿听和说能力发展的特点与规律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2.掌握与婴幼儿玩指认游戏的内容和方法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3.熟悉儿歌、童谣的特点与作用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4.掌握为婴幼儿念儿歌、童谣的基本原则与方法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5.了解婴幼儿故事活动的意义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6.掌握婴幼儿故事活动的特点与要求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7.掌握婴幼儿故事活动的基本环节与组织方法</w:t>
            </w:r>
          </w:p>
        </w:tc>
        <w:tc>
          <w:tcPr>
            <w:tcW w:w="10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80" w:firstLineChars="200"/>
              <w:jc w:val="both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8" w:hRule="atLeast"/>
        </w:trPr>
        <w:tc>
          <w:tcPr>
            <w:tcW w:w="16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（三）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婴幼儿感知活动指导</w:t>
            </w:r>
          </w:p>
        </w:tc>
        <w:tc>
          <w:tcPr>
            <w:tcW w:w="38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1.能掌握婴幼儿触觉训练的方法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2.能掌握婴幼儿听力训练的方法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3.能掌握婴幼儿视觉训练的方法</w:t>
            </w:r>
          </w:p>
        </w:tc>
        <w:tc>
          <w:tcPr>
            <w:tcW w:w="32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1.掌握婴幼儿触觉的基础知识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2.掌握婴幼儿听觉的基础知识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3.掌握婴幼儿视觉的基础知识</w:t>
            </w:r>
          </w:p>
        </w:tc>
        <w:tc>
          <w:tcPr>
            <w:tcW w:w="10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80" w:firstLineChars="200"/>
              <w:jc w:val="both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66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（四）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center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婴幼儿认知游戏指导</w:t>
            </w:r>
          </w:p>
        </w:tc>
        <w:tc>
          <w:tcPr>
            <w:tcW w:w="382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1.能陪伴婴幼儿玩分类、配对、排序、数的游戏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2.能陪伴婴幼儿玩艺术表现游戏</w:t>
            </w:r>
          </w:p>
        </w:tc>
        <w:tc>
          <w:tcPr>
            <w:tcW w:w="32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1.婴幼儿认知发展特点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2.婴幼儿认知游戏的作用与注意事项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3.婴幼儿艺术表现发展特点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jc w:val="both"/>
              <w:textAlignment w:val="center"/>
              <w:rPr>
                <w:rFonts w:hint="default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4.婴幼儿表现游戏的作用与注意事项</w:t>
            </w:r>
          </w:p>
        </w:tc>
        <w:tc>
          <w:tcPr>
            <w:tcW w:w="109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exact"/>
              <w:ind w:firstLine="480" w:firstLineChars="200"/>
              <w:jc w:val="both"/>
              <w:textAlignment w:val="center"/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25%</w:t>
            </w:r>
          </w:p>
        </w:tc>
      </w:tr>
      <w:bookmarkEnd w:id="0"/>
    </w:tbl>
    <w:p>
      <w:pPr>
        <w:pStyle w:val="10"/>
        <w:widowControl/>
        <w:tabs>
          <w:tab w:val="left" w:pos="0"/>
        </w:tabs>
        <w:spacing w:line="360" w:lineRule="auto"/>
        <w:ind w:firstLine="562" w:firstLineChars="200"/>
        <w:rPr>
          <w:rFonts w:ascii="仿宋" w:hAnsi="仿宋" w:eastAsia="仿宋" w:cs="Times New Roman"/>
          <w:b/>
          <w:color w:val="auto"/>
          <w:sz w:val="28"/>
          <w:szCs w:val="28"/>
        </w:rPr>
      </w:pPr>
      <w:r>
        <w:rPr>
          <w:rFonts w:hint="eastAsia" w:ascii="仿宋" w:hAnsi="仿宋" w:eastAsia="仿宋" w:cs="Times New Roman"/>
          <w:b/>
          <w:color w:val="auto"/>
          <w:sz w:val="28"/>
          <w:szCs w:val="28"/>
        </w:rPr>
        <w:t>四、鉴定要求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both"/>
        <w:textAlignment w:val="center"/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（一）申报条件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both"/>
        <w:textAlignment w:val="center"/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达到法定劳动年龄，具有相应技能的劳动者均可申报。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both"/>
        <w:textAlignment w:val="center"/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（二）考评员构成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both"/>
        <w:textAlignment w:val="center"/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1.具有婴幼儿发展引导员，育婴员、保育员、家政服务员（高级）及以上职业资格证书（技能等级证书）或相关专业中级专业技术职务任职资格；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both"/>
        <w:textAlignment w:val="center"/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2.从事婴幼儿服务行业 3年以上，具有丰富的实际操作经验。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both"/>
        <w:textAlignment w:val="center"/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3.每个考评组中不少于3名考评员。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both"/>
        <w:textAlignment w:val="center"/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（三）鉴定方式与鉴定时间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both"/>
        <w:textAlignment w:val="center"/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技能操作考核采取实际操作考核。技能操作考核时间为40分钟。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both"/>
        <w:textAlignment w:val="center"/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（四）鉴定场地和设备要求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jc w:val="both"/>
        <w:textAlignment w:val="center"/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cs="宋体"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  <w:t>考核场所需累计达到100平方米左右的室内场地，光线充足，空气流通，室内温、湿度适中，整洁无干扰，具有安全防火措施。还需配备主考室及候考室。</w:t>
      </w:r>
    </w:p>
    <w:p>
      <w:pPr>
        <w:spacing w:line="360" w:lineRule="auto"/>
        <w:rPr>
          <w:rFonts w:ascii="仿宋" w:hAnsi="仿宋" w:eastAsia="仿宋" w:cstheme="minorEastAsia"/>
          <w:sz w:val="28"/>
          <w:szCs w:val="28"/>
        </w:rPr>
      </w:pPr>
    </w:p>
    <w:sectPr>
      <w:pgSz w:w="11906" w:h="16838"/>
      <w:pgMar w:top="1134" w:right="1418" w:bottom="1134" w:left="1418" w:header="85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I5ZTNjMTE0NzU1N2I2Y2ViNjAzMDVmMDEzYzM1NzAifQ=="/>
  </w:docVars>
  <w:rsids>
    <w:rsidRoot w:val="25273E85"/>
    <w:rsid w:val="0014356E"/>
    <w:rsid w:val="001814E9"/>
    <w:rsid w:val="001D0D84"/>
    <w:rsid w:val="00241767"/>
    <w:rsid w:val="004A2556"/>
    <w:rsid w:val="005F223E"/>
    <w:rsid w:val="005F2D71"/>
    <w:rsid w:val="00666006"/>
    <w:rsid w:val="008D143F"/>
    <w:rsid w:val="00927540"/>
    <w:rsid w:val="009A2E4B"/>
    <w:rsid w:val="03CF5D64"/>
    <w:rsid w:val="0E5058AD"/>
    <w:rsid w:val="0E944CFA"/>
    <w:rsid w:val="143D4CD7"/>
    <w:rsid w:val="1A850D63"/>
    <w:rsid w:val="1D87627D"/>
    <w:rsid w:val="25273E85"/>
    <w:rsid w:val="3EB36C76"/>
    <w:rsid w:val="40E210C1"/>
    <w:rsid w:val="42060BDD"/>
    <w:rsid w:val="5C3B4311"/>
    <w:rsid w:val="5E563006"/>
    <w:rsid w:val="74EF502A"/>
    <w:rsid w:val="751B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qFormat/>
    <w:uiPriority w:val="0"/>
    <w:rPr>
      <w:sz w:val="18"/>
      <w:szCs w:val="18"/>
    </w:rPr>
  </w:style>
  <w:style w:type="paragraph" w:styleId="3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Subtitle"/>
    <w:basedOn w:val="1"/>
    <w:next w:val="1"/>
    <w:link w:val="16"/>
    <w:qFormat/>
    <w:uiPriority w:val="0"/>
    <w:pPr>
      <w:ind w:firstLine="200" w:firstLineChars="200"/>
      <w:jc w:val="left"/>
      <w:outlineLvl w:val="1"/>
    </w:pPr>
    <w:rPr>
      <w:rFonts w:eastAsia="仿宋" w:asciiTheme="majorHAnsi" w:hAnsiTheme="majorHAnsi" w:cstheme="majorBidi"/>
      <w:b/>
      <w:bCs/>
      <w:kern w:val="28"/>
      <w:sz w:val="28"/>
      <w:szCs w:val="32"/>
    </w:rPr>
  </w:style>
  <w:style w:type="paragraph" w:styleId="6">
    <w:name w:val="Title"/>
    <w:basedOn w:val="1"/>
    <w:next w:val="1"/>
    <w:link w:val="15"/>
    <w:qFormat/>
    <w:uiPriority w:val="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正文 A"/>
    <w:qFormat/>
    <w:uiPriority w:val="99"/>
    <w:pPr>
      <w:widowControl w:val="0"/>
      <w:jc w:val="both"/>
    </w:pPr>
    <w:rPr>
      <w:rFonts w:ascii="Times New Roman" w:hAnsi="Arial Unicode MS" w:eastAsia="Times New Roman" w:cs="Arial Unicode MS"/>
      <w:color w:val="000000"/>
      <w:kern w:val="2"/>
      <w:sz w:val="21"/>
      <w:szCs w:val="21"/>
      <w:lang w:val="en-US" w:eastAsia="zh-CN" w:bidi="ar-SA"/>
    </w:rPr>
  </w:style>
  <w:style w:type="paragraph" w:styleId="11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character" w:customStyle="1" w:styleId="12">
    <w:name w:val="批注框文本 Char"/>
    <w:basedOn w:val="9"/>
    <w:link w:val="2"/>
    <w:qFormat/>
    <w:uiPriority w:val="0"/>
    <w:rPr>
      <w:kern w:val="2"/>
      <w:sz w:val="18"/>
      <w:szCs w:val="18"/>
    </w:rPr>
  </w:style>
  <w:style w:type="character" w:customStyle="1" w:styleId="13">
    <w:name w:val="页眉 Char"/>
    <w:basedOn w:val="9"/>
    <w:link w:val="4"/>
    <w:qFormat/>
    <w:uiPriority w:val="0"/>
    <w:rPr>
      <w:kern w:val="2"/>
      <w:sz w:val="18"/>
      <w:szCs w:val="18"/>
    </w:rPr>
  </w:style>
  <w:style w:type="character" w:customStyle="1" w:styleId="14">
    <w:name w:val="页脚 Char"/>
    <w:basedOn w:val="9"/>
    <w:link w:val="3"/>
    <w:qFormat/>
    <w:uiPriority w:val="0"/>
    <w:rPr>
      <w:kern w:val="2"/>
      <w:sz w:val="18"/>
      <w:szCs w:val="18"/>
    </w:rPr>
  </w:style>
  <w:style w:type="character" w:customStyle="1" w:styleId="15">
    <w:name w:val="标题 Char"/>
    <w:basedOn w:val="9"/>
    <w:link w:val="6"/>
    <w:qFormat/>
    <w:uiPriority w:val="0"/>
    <w:rPr>
      <w:rFonts w:asciiTheme="majorHAnsi" w:hAnsiTheme="majorHAnsi" w:cstheme="majorBidi"/>
      <w:b/>
      <w:bCs/>
      <w:kern w:val="2"/>
      <w:sz w:val="32"/>
      <w:szCs w:val="32"/>
    </w:rPr>
  </w:style>
  <w:style w:type="character" w:customStyle="1" w:styleId="16">
    <w:name w:val="副标题 Char"/>
    <w:basedOn w:val="9"/>
    <w:link w:val="5"/>
    <w:qFormat/>
    <w:uiPriority w:val="0"/>
    <w:rPr>
      <w:rFonts w:eastAsia="仿宋" w:asciiTheme="majorHAnsi" w:hAnsiTheme="majorHAnsi" w:cstheme="majorBidi"/>
      <w:b/>
      <w:bCs/>
      <w:kern w:val="28"/>
      <w:sz w:val="28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983</Words>
  <Characters>1032</Characters>
  <Lines>11</Lines>
  <Paragraphs>3</Paragraphs>
  <TotalTime>10</TotalTime>
  <ScaleCrop>false</ScaleCrop>
  <LinksUpToDate>false</LinksUpToDate>
  <CharactersWithSpaces>1063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2020-06-11T01:42:00Z</dcterms:created>
  <dc:creator>WPS_1559635668</dc:creator>
  <cp:lastModifiedBy>素年锦时</cp:lastModifiedBy>
  <cp:lastPrinted>2020-11-18T08:20:00Z</cp:lastPrinted>
  <dcterms:modified xsi:type="dcterms:W3CDTF">2022-08-19T02:01:54Z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F0748408CF5C49DEB25555FCCBF3ED3F</vt:lpwstr>
  </property>
</Properties>
</file>