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highlight w:val="none"/>
        </w:rPr>
      </w:pPr>
    </w:p>
    <w:p>
      <w:pPr>
        <w:rPr>
          <w:sz w:val="84"/>
          <w:szCs w:val="84"/>
          <w:highlight w:val="none"/>
          <w:u w:val="single"/>
        </w:rPr>
      </w:pPr>
    </w:p>
    <w:p>
      <w:pPr>
        <w:rPr>
          <w:sz w:val="84"/>
          <w:szCs w:val="84"/>
          <w:highlight w:val="none"/>
          <w:u w:val="single"/>
        </w:rPr>
      </w:pPr>
    </w:p>
    <w:p>
      <w:pPr>
        <w:rPr>
          <w:sz w:val="84"/>
          <w:szCs w:val="84"/>
          <w:highlight w:val="none"/>
          <w:u w:val="single"/>
        </w:rPr>
      </w:pPr>
    </w:p>
    <w:p>
      <w:pPr>
        <w:jc w:val="center"/>
        <w:rPr>
          <w:rFonts w:hint="eastAsia"/>
          <w:sz w:val="72"/>
          <w:szCs w:val="72"/>
          <w:highlight w:val="none"/>
        </w:rPr>
      </w:pPr>
      <w:r>
        <w:rPr>
          <w:rFonts w:hint="eastAsia"/>
          <w:sz w:val="72"/>
          <w:szCs w:val="72"/>
          <w:highlight w:val="none"/>
          <w:lang w:eastAsia="zh-CN"/>
        </w:rPr>
        <w:t>2024</w:t>
      </w:r>
      <w:r>
        <w:rPr>
          <w:rFonts w:hint="eastAsia"/>
          <w:sz w:val="72"/>
          <w:szCs w:val="72"/>
          <w:highlight w:val="none"/>
        </w:rPr>
        <w:t>年海口市农村社会</w:t>
      </w:r>
    </w:p>
    <w:p>
      <w:pPr>
        <w:jc w:val="center"/>
        <w:rPr>
          <w:sz w:val="72"/>
          <w:szCs w:val="72"/>
          <w:highlight w:val="none"/>
        </w:rPr>
      </w:pPr>
      <w:r>
        <w:rPr>
          <w:rFonts w:hint="eastAsia"/>
          <w:sz w:val="72"/>
          <w:szCs w:val="72"/>
          <w:highlight w:val="none"/>
        </w:rPr>
        <w:t>养老保险局预算</w:t>
      </w:r>
    </w:p>
    <w:p>
      <w:pPr>
        <w:ind w:firstLine="1680"/>
        <w:jc w:val="center"/>
        <w:rPr>
          <w:sz w:val="84"/>
          <w:szCs w:val="84"/>
          <w:highlight w:val="none"/>
        </w:rPr>
      </w:pPr>
    </w:p>
    <w:p>
      <w:pPr>
        <w:ind w:firstLine="1680"/>
        <w:jc w:val="center"/>
        <w:rPr>
          <w:sz w:val="84"/>
          <w:szCs w:val="84"/>
          <w:highlight w:val="none"/>
        </w:rPr>
      </w:pPr>
    </w:p>
    <w:p>
      <w:pPr>
        <w:ind w:firstLine="1680"/>
        <w:jc w:val="center"/>
        <w:rPr>
          <w:sz w:val="84"/>
          <w:szCs w:val="84"/>
          <w:highlight w:val="none"/>
        </w:rPr>
      </w:pPr>
    </w:p>
    <w:p>
      <w:pPr>
        <w:ind w:firstLine="1680"/>
        <w:jc w:val="center"/>
        <w:rPr>
          <w:sz w:val="84"/>
          <w:szCs w:val="84"/>
          <w:highlight w:val="none"/>
        </w:rPr>
      </w:pPr>
    </w:p>
    <w:p>
      <w:pPr>
        <w:ind w:firstLine="1680"/>
        <w:jc w:val="center"/>
        <w:rPr>
          <w:sz w:val="84"/>
          <w:szCs w:val="84"/>
          <w:highlight w:val="none"/>
        </w:rPr>
      </w:pPr>
    </w:p>
    <w:p>
      <w:pPr>
        <w:rPr>
          <w:sz w:val="84"/>
          <w:szCs w:val="84"/>
          <w:highlight w:val="none"/>
        </w:rPr>
      </w:pPr>
    </w:p>
    <w:p>
      <w:pPr>
        <w:jc w:val="center"/>
        <w:rPr>
          <w:rFonts w:hint="eastAsia" w:ascii="黑体" w:hAnsi="黑体" w:eastAsia="黑体"/>
          <w:sz w:val="52"/>
          <w:szCs w:val="52"/>
          <w:highlight w:val="none"/>
        </w:rPr>
      </w:pPr>
    </w:p>
    <w:p>
      <w:pPr>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目</w:t>
      </w:r>
      <w:r>
        <w:rPr>
          <w:rFonts w:hint="eastAsia" w:ascii="方正小标宋简体" w:hAnsi="方正小标宋简体" w:eastAsia="方正小标宋简体" w:cs="方正小标宋简体"/>
          <w:sz w:val="44"/>
          <w:szCs w:val="44"/>
          <w:highlight w:val="none"/>
          <w:lang w:val="en-US" w:eastAsia="zh-CN"/>
        </w:rPr>
        <w:t xml:space="preserve">  </w:t>
      </w:r>
      <w:r>
        <w:rPr>
          <w:rFonts w:hint="eastAsia" w:ascii="方正小标宋简体" w:hAnsi="方正小标宋简体" w:eastAsia="方正小标宋简体" w:cs="方正小标宋简体"/>
          <w:sz w:val="44"/>
          <w:szCs w:val="44"/>
          <w:highlight w:val="none"/>
        </w:rPr>
        <w:t>录</w:t>
      </w:r>
    </w:p>
    <w:p>
      <w:pPr>
        <w:pStyle w:val="7"/>
        <w:numPr>
          <w:ilvl w:val="0"/>
          <w:numId w:val="1"/>
        </w:numPr>
        <w:ind w:firstLineChars="0"/>
        <w:jc w:val="left"/>
        <w:rPr>
          <w:rFonts w:hint="eastAsia" w:ascii="仿宋" w:hAnsi="仿宋" w:eastAsia="仿宋" w:cs="仿宋"/>
          <w:sz w:val="30"/>
          <w:szCs w:val="30"/>
          <w:highlight w:val="none"/>
        </w:rPr>
      </w:pPr>
      <w:r>
        <w:rPr>
          <w:rFonts w:hint="eastAsia" w:ascii="黑体" w:hAnsi="黑体" w:eastAsia="黑体"/>
          <w:sz w:val="32"/>
          <w:szCs w:val="32"/>
          <w:highlight w:val="none"/>
        </w:rPr>
        <w:t xml:space="preserve"> </w:t>
      </w:r>
      <w:r>
        <w:rPr>
          <w:rFonts w:hint="eastAsia" w:ascii="仿宋" w:hAnsi="仿宋" w:eastAsia="仿宋" w:cs="仿宋"/>
          <w:sz w:val="30"/>
          <w:szCs w:val="30"/>
          <w:highlight w:val="none"/>
        </w:rPr>
        <w:t>海口市农村社会养老保险局概况</w:t>
      </w:r>
    </w:p>
    <w:p>
      <w:pPr>
        <w:pStyle w:val="7"/>
        <w:numPr>
          <w:ilvl w:val="0"/>
          <w:numId w:val="0"/>
        </w:numPr>
        <w:ind w:leftChars="0"/>
        <w:jc w:val="left"/>
        <w:rPr>
          <w:rFonts w:hint="eastAsia" w:ascii="仿宋" w:hAnsi="仿宋" w:eastAsia="仿宋" w:cs="仿宋"/>
          <w:sz w:val="30"/>
          <w:szCs w:val="30"/>
          <w:highlight w:val="none"/>
        </w:rPr>
      </w:pPr>
      <w:r>
        <w:rPr>
          <w:rFonts w:hint="eastAsia" w:ascii="仿宋" w:hAnsi="仿宋" w:eastAsia="仿宋" w:cs="仿宋"/>
          <w:sz w:val="30"/>
          <w:szCs w:val="30"/>
          <w:highlight w:val="none"/>
          <w:lang w:eastAsia="zh-CN"/>
        </w:rPr>
        <w:t>一、基本情况</w:t>
      </w:r>
    </w:p>
    <w:p>
      <w:pPr>
        <w:pStyle w:val="7"/>
        <w:numPr>
          <w:ilvl w:val="0"/>
          <w:numId w:val="0"/>
        </w:numPr>
        <w:ind w:leftChars="0"/>
        <w:jc w:val="left"/>
        <w:rPr>
          <w:rFonts w:hint="eastAsia" w:ascii="仿宋" w:hAnsi="仿宋" w:eastAsia="仿宋" w:cs="仿宋"/>
          <w:sz w:val="30"/>
          <w:szCs w:val="30"/>
          <w:highlight w:val="none"/>
        </w:rPr>
      </w:pPr>
      <w:r>
        <w:rPr>
          <w:rFonts w:hint="eastAsia" w:ascii="仿宋" w:hAnsi="仿宋" w:eastAsia="仿宋" w:cs="仿宋"/>
          <w:sz w:val="30"/>
          <w:szCs w:val="30"/>
          <w:highlight w:val="none"/>
          <w:lang w:eastAsia="zh-CN"/>
        </w:rPr>
        <w:t>二、</w:t>
      </w:r>
      <w:r>
        <w:rPr>
          <w:rFonts w:hint="eastAsia" w:ascii="仿宋" w:hAnsi="仿宋" w:eastAsia="仿宋" w:cs="仿宋"/>
          <w:sz w:val="30"/>
          <w:szCs w:val="30"/>
          <w:highlight w:val="none"/>
        </w:rPr>
        <w:t>主要工作职能</w:t>
      </w:r>
    </w:p>
    <w:p>
      <w:pPr>
        <w:pStyle w:val="7"/>
        <w:numPr>
          <w:ilvl w:val="0"/>
          <w:numId w:val="1"/>
        </w:numPr>
        <w:ind w:firstLineChars="0"/>
        <w:rPr>
          <w:rFonts w:hint="eastAsia" w:ascii="仿宋" w:hAnsi="仿宋" w:eastAsia="仿宋" w:cs="仿宋"/>
          <w:sz w:val="30"/>
          <w:szCs w:val="30"/>
          <w:highlight w:val="none"/>
        </w:rPr>
      </w:pPr>
      <w:r>
        <w:rPr>
          <w:rFonts w:hint="eastAsia" w:ascii="仿宋" w:hAnsi="仿宋" w:eastAsia="仿宋" w:cs="仿宋"/>
          <w:sz w:val="30"/>
          <w:szCs w:val="30"/>
          <w:highlight w:val="none"/>
          <w:lang w:val="en-US" w:eastAsia="zh-CN"/>
        </w:rPr>
        <w:t xml:space="preserve"> </w:t>
      </w:r>
      <w:r>
        <w:rPr>
          <w:rFonts w:hint="eastAsia" w:ascii="仿宋" w:hAnsi="仿宋" w:eastAsia="仿宋" w:cs="仿宋"/>
          <w:sz w:val="30"/>
          <w:szCs w:val="30"/>
          <w:highlight w:val="none"/>
        </w:rPr>
        <w:t>海口市农村社会养老保险局预算表</w:t>
      </w:r>
    </w:p>
    <w:p>
      <w:pPr>
        <w:pStyle w:val="7"/>
        <w:numPr>
          <w:ilvl w:val="0"/>
          <w:numId w:val="2"/>
        </w:numPr>
        <w:ind w:firstLineChars="0"/>
        <w:rPr>
          <w:rFonts w:hint="eastAsia" w:ascii="仿宋" w:hAnsi="仿宋" w:eastAsia="仿宋" w:cs="仿宋"/>
          <w:sz w:val="30"/>
          <w:szCs w:val="30"/>
          <w:highlight w:val="none"/>
        </w:rPr>
      </w:pPr>
      <w:r>
        <w:rPr>
          <w:rFonts w:hint="eastAsia" w:ascii="仿宋" w:hAnsi="仿宋" w:eastAsia="仿宋" w:cs="仿宋"/>
          <w:sz w:val="30"/>
          <w:szCs w:val="30"/>
          <w:highlight w:val="none"/>
        </w:rPr>
        <w:t>财政拨款收支总表</w:t>
      </w:r>
    </w:p>
    <w:p>
      <w:pPr>
        <w:pStyle w:val="7"/>
        <w:numPr>
          <w:ilvl w:val="0"/>
          <w:numId w:val="2"/>
        </w:numPr>
        <w:ind w:firstLineChars="0"/>
        <w:rPr>
          <w:rFonts w:hint="eastAsia" w:ascii="仿宋" w:hAnsi="仿宋" w:eastAsia="仿宋" w:cs="仿宋"/>
          <w:sz w:val="30"/>
          <w:szCs w:val="30"/>
          <w:highlight w:val="none"/>
        </w:rPr>
      </w:pPr>
      <w:r>
        <w:rPr>
          <w:rFonts w:hint="eastAsia" w:ascii="仿宋" w:hAnsi="仿宋" w:eastAsia="仿宋" w:cs="仿宋"/>
          <w:sz w:val="30"/>
          <w:szCs w:val="30"/>
          <w:highlight w:val="none"/>
        </w:rPr>
        <w:t>一般公共预算支出表</w:t>
      </w:r>
    </w:p>
    <w:p>
      <w:pPr>
        <w:pStyle w:val="7"/>
        <w:numPr>
          <w:ilvl w:val="0"/>
          <w:numId w:val="2"/>
        </w:numPr>
        <w:ind w:firstLineChars="0"/>
        <w:rPr>
          <w:rFonts w:hint="eastAsia" w:ascii="仿宋" w:hAnsi="仿宋" w:eastAsia="仿宋" w:cs="仿宋"/>
          <w:sz w:val="30"/>
          <w:szCs w:val="30"/>
          <w:highlight w:val="none"/>
        </w:rPr>
      </w:pPr>
      <w:r>
        <w:rPr>
          <w:rFonts w:hint="eastAsia" w:ascii="仿宋" w:hAnsi="仿宋" w:eastAsia="仿宋" w:cs="仿宋"/>
          <w:sz w:val="30"/>
          <w:szCs w:val="30"/>
          <w:highlight w:val="none"/>
        </w:rPr>
        <w:t>一般公共预算基本支出表</w:t>
      </w:r>
    </w:p>
    <w:p>
      <w:pPr>
        <w:pStyle w:val="7"/>
        <w:numPr>
          <w:ilvl w:val="0"/>
          <w:numId w:val="2"/>
        </w:numPr>
        <w:ind w:firstLineChars="0"/>
        <w:rPr>
          <w:rFonts w:hint="eastAsia" w:ascii="仿宋" w:hAnsi="仿宋" w:eastAsia="仿宋" w:cs="仿宋"/>
          <w:sz w:val="30"/>
          <w:szCs w:val="30"/>
          <w:highlight w:val="none"/>
        </w:rPr>
      </w:pPr>
      <w:r>
        <w:rPr>
          <w:rFonts w:hint="eastAsia" w:ascii="仿宋" w:hAnsi="仿宋" w:eastAsia="仿宋" w:cs="仿宋"/>
          <w:sz w:val="30"/>
          <w:szCs w:val="30"/>
          <w:highlight w:val="none"/>
        </w:rPr>
        <w:t>一般公共预算“三公”经费支出表</w:t>
      </w:r>
    </w:p>
    <w:p>
      <w:pPr>
        <w:pStyle w:val="7"/>
        <w:numPr>
          <w:ilvl w:val="0"/>
          <w:numId w:val="2"/>
        </w:numPr>
        <w:ind w:firstLineChars="0"/>
        <w:rPr>
          <w:rFonts w:hint="eastAsia" w:ascii="仿宋" w:hAnsi="仿宋" w:eastAsia="仿宋" w:cs="仿宋"/>
          <w:sz w:val="30"/>
          <w:szCs w:val="30"/>
          <w:highlight w:val="none"/>
        </w:rPr>
      </w:pPr>
      <w:r>
        <w:rPr>
          <w:rFonts w:hint="eastAsia" w:ascii="仿宋" w:hAnsi="仿宋" w:eastAsia="仿宋" w:cs="仿宋"/>
          <w:sz w:val="30"/>
          <w:szCs w:val="30"/>
          <w:highlight w:val="none"/>
        </w:rPr>
        <w:t>政府性基金预算支出表。</w:t>
      </w:r>
    </w:p>
    <w:p>
      <w:pPr>
        <w:pStyle w:val="7"/>
        <w:numPr>
          <w:ilvl w:val="0"/>
          <w:numId w:val="2"/>
        </w:numPr>
        <w:ind w:firstLineChars="0"/>
        <w:rPr>
          <w:rFonts w:hint="eastAsia" w:ascii="仿宋" w:hAnsi="仿宋" w:eastAsia="仿宋" w:cs="仿宋"/>
          <w:sz w:val="30"/>
          <w:szCs w:val="30"/>
          <w:highlight w:val="none"/>
        </w:rPr>
      </w:pPr>
      <w:r>
        <w:rPr>
          <w:rFonts w:hint="eastAsia" w:ascii="仿宋" w:hAnsi="仿宋" w:eastAsia="仿宋" w:cs="仿宋"/>
          <w:sz w:val="30"/>
          <w:szCs w:val="30"/>
          <w:highlight w:val="none"/>
        </w:rPr>
        <w:t>政府性基金预算“三公”经费支出表</w:t>
      </w:r>
    </w:p>
    <w:p>
      <w:pPr>
        <w:pStyle w:val="7"/>
        <w:numPr>
          <w:ilvl w:val="0"/>
          <w:numId w:val="2"/>
        </w:numPr>
        <w:ind w:firstLineChars="0"/>
        <w:jc w:val="left"/>
        <w:rPr>
          <w:rFonts w:hint="eastAsia" w:ascii="仿宋" w:hAnsi="仿宋" w:eastAsia="仿宋" w:cs="仿宋"/>
          <w:sz w:val="30"/>
          <w:szCs w:val="30"/>
          <w:highlight w:val="none"/>
        </w:rPr>
      </w:pPr>
      <w:r>
        <w:rPr>
          <w:rFonts w:hint="eastAsia" w:ascii="仿宋" w:hAnsi="仿宋" w:eastAsia="仿宋" w:cs="仿宋"/>
          <w:sz w:val="30"/>
          <w:szCs w:val="30"/>
          <w:highlight w:val="none"/>
        </w:rPr>
        <w:t>部门（单位）收支总表</w:t>
      </w:r>
    </w:p>
    <w:p>
      <w:pPr>
        <w:pStyle w:val="7"/>
        <w:numPr>
          <w:ilvl w:val="0"/>
          <w:numId w:val="2"/>
        </w:numPr>
        <w:ind w:firstLineChars="0"/>
        <w:jc w:val="left"/>
        <w:rPr>
          <w:rFonts w:hint="eastAsia" w:ascii="仿宋" w:hAnsi="仿宋" w:eastAsia="仿宋" w:cs="仿宋"/>
          <w:sz w:val="30"/>
          <w:szCs w:val="30"/>
          <w:highlight w:val="none"/>
        </w:rPr>
      </w:pPr>
      <w:r>
        <w:rPr>
          <w:rFonts w:hint="eastAsia" w:ascii="仿宋" w:hAnsi="仿宋" w:eastAsia="仿宋" w:cs="仿宋"/>
          <w:sz w:val="30"/>
          <w:szCs w:val="30"/>
          <w:highlight w:val="none"/>
        </w:rPr>
        <w:t>部门（单位）收入总表</w:t>
      </w:r>
    </w:p>
    <w:p>
      <w:pPr>
        <w:pStyle w:val="7"/>
        <w:numPr>
          <w:ilvl w:val="0"/>
          <w:numId w:val="2"/>
        </w:numPr>
        <w:ind w:firstLineChars="0"/>
        <w:jc w:val="left"/>
        <w:rPr>
          <w:rFonts w:hint="eastAsia" w:ascii="仿宋" w:hAnsi="仿宋" w:eastAsia="仿宋" w:cs="仿宋"/>
          <w:sz w:val="30"/>
          <w:szCs w:val="30"/>
          <w:highlight w:val="none"/>
        </w:rPr>
      </w:pPr>
      <w:r>
        <w:rPr>
          <w:rFonts w:hint="eastAsia" w:ascii="仿宋" w:hAnsi="仿宋" w:eastAsia="仿宋" w:cs="仿宋"/>
          <w:sz w:val="30"/>
          <w:szCs w:val="30"/>
          <w:highlight w:val="none"/>
        </w:rPr>
        <w:t>部门（单位）支出总表</w:t>
      </w:r>
    </w:p>
    <w:p>
      <w:pPr>
        <w:pStyle w:val="7"/>
        <w:numPr>
          <w:ilvl w:val="0"/>
          <w:numId w:val="2"/>
        </w:numPr>
        <w:ind w:firstLineChars="0"/>
        <w:jc w:val="left"/>
        <w:rPr>
          <w:rFonts w:hint="eastAsia" w:ascii="仿宋" w:hAnsi="仿宋" w:eastAsia="仿宋" w:cs="仿宋"/>
          <w:sz w:val="30"/>
          <w:szCs w:val="30"/>
          <w:highlight w:val="none"/>
        </w:rPr>
      </w:pPr>
      <w:r>
        <w:rPr>
          <w:rFonts w:hint="eastAsia" w:ascii="仿宋" w:hAnsi="仿宋" w:eastAsia="仿宋" w:cs="仿宋"/>
          <w:sz w:val="30"/>
          <w:szCs w:val="30"/>
          <w:highlight w:val="none"/>
        </w:rPr>
        <w:t>项目支出绩效信息表</w:t>
      </w:r>
    </w:p>
    <w:p>
      <w:pPr>
        <w:pStyle w:val="7"/>
        <w:numPr>
          <w:ilvl w:val="0"/>
          <w:numId w:val="1"/>
        </w:numPr>
        <w:ind w:firstLineChars="0"/>
        <w:jc w:val="left"/>
        <w:rPr>
          <w:rFonts w:hint="eastAsia" w:ascii="仿宋" w:hAnsi="仿宋" w:eastAsia="仿宋" w:cs="仿宋"/>
          <w:sz w:val="30"/>
          <w:szCs w:val="30"/>
          <w:highlight w:val="none"/>
        </w:rPr>
      </w:pPr>
      <w:r>
        <w:rPr>
          <w:rFonts w:hint="eastAsia" w:ascii="仿宋" w:hAnsi="仿宋" w:eastAsia="仿宋" w:cs="仿宋"/>
          <w:sz w:val="30"/>
          <w:szCs w:val="30"/>
          <w:highlight w:val="none"/>
          <w:lang w:val="en-US" w:eastAsia="zh-CN"/>
        </w:rPr>
        <w:t xml:space="preserve"> </w:t>
      </w:r>
      <w:r>
        <w:rPr>
          <w:rFonts w:hint="eastAsia" w:ascii="仿宋" w:hAnsi="仿宋" w:eastAsia="仿宋" w:cs="仿宋"/>
          <w:sz w:val="30"/>
          <w:szCs w:val="30"/>
          <w:highlight w:val="none"/>
        </w:rPr>
        <w:t>海口市农村社会养老保险局预算情况说明</w:t>
      </w:r>
    </w:p>
    <w:p>
      <w:pPr>
        <w:pStyle w:val="7"/>
        <w:numPr>
          <w:ilvl w:val="0"/>
          <w:numId w:val="1"/>
        </w:numPr>
        <w:ind w:firstLineChars="0"/>
        <w:jc w:val="left"/>
        <w:rPr>
          <w:rFonts w:hint="eastAsia" w:ascii="仿宋" w:hAnsi="仿宋" w:eastAsia="仿宋" w:cs="仿宋"/>
          <w:sz w:val="30"/>
          <w:szCs w:val="30"/>
          <w:highlight w:val="none"/>
        </w:rPr>
      </w:pPr>
      <w:r>
        <w:rPr>
          <w:rFonts w:hint="eastAsia" w:ascii="仿宋" w:hAnsi="仿宋" w:eastAsia="仿宋" w:cs="仿宋"/>
          <w:sz w:val="30"/>
          <w:szCs w:val="30"/>
          <w:highlight w:val="none"/>
        </w:rPr>
        <w:t xml:space="preserve">   名词解释</w:t>
      </w:r>
    </w:p>
    <w:p>
      <w:pPr>
        <w:jc w:val="left"/>
        <w:rPr>
          <w:rFonts w:hint="eastAsia" w:ascii="仿宋" w:hAnsi="仿宋" w:eastAsia="仿宋" w:cs="仿宋"/>
          <w:sz w:val="30"/>
          <w:szCs w:val="30"/>
          <w:highlight w:val="none"/>
        </w:rPr>
      </w:pPr>
    </w:p>
    <w:p>
      <w:pPr>
        <w:jc w:val="left"/>
        <w:rPr>
          <w:rFonts w:hint="eastAsia" w:ascii="仿宋" w:hAnsi="仿宋" w:eastAsia="仿宋" w:cs="仿宋"/>
          <w:sz w:val="30"/>
          <w:szCs w:val="30"/>
          <w:highlight w:val="none"/>
        </w:rPr>
      </w:pPr>
    </w:p>
    <w:p>
      <w:pPr>
        <w:pStyle w:val="7"/>
        <w:numPr>
          <w:ilvl w:val="0"/>
          <w:numId w:val="0"/>
        </w:numPr>
        <w:ind w:leftChars="0"/>
        <w:jc w:val="both"/>
        <w:rPr>
          <w:rFonts w:hint="eastAsia" w:ascii="仿宋" w:hAnsi="仿宋" w:eastAsia="仿宋" w:cs="仿宋"/>
          <w:sz w:val="30"/>
          <w:szCs w:val="30"/>
          <w:highlight w:val="none"/>
        </w:rPr>
      </w:pPr>
    </w:p>
    <w:p>
      <w:pPr>
        <w:pStyle w:val="7"/>
        <w:numPr>
          <w:ilvl w:val="0"/>
          <w:numId w:val="0"/>
        </w:numPr>
        <w:ind w:leftChars="0"/>
        <w:jc w:val="both"/>
        <w:rPr>
          <w:rFonts w:hint="eastAsia" w:ascii="方正小标宋简体" w:hAnsi="方正小标宋简体" w:eastAsia="方正小标宋简体" w:cs="方正小标宋简体"/>
          <w:sz w:val="30"/>
          <w:szCs w:val="30"/>
          <w:highlight w:val="none"/>
        </w:rPr>
      </w:pPr>
    </w:p>
    <w:p>
      <w:pPr>
        <w:pStyle w:val="7"/>
        <w:numPr>
          <w:ilvl w:val="0"/>
          <w:numId w:val="3"/>
        </w:numPr>
        <w:ind w:firstLineChars="0"/>
        <w:jc w:val="center"/>
        <w:rPr>
          <w:rFonts w:hint="eastAsia" w:ascii="方正小标宋简体" w:hAnsi="方正小标宋简体" w:eastAsia="方正小标宋简体" w:cs="方正小标宋简体"/>
          <w:sz w:val="30"/>
          <w:szCs w:val="30"/>
          <w:highlight w:val="none"/>
        </w:rPr>
      </w:pPr>
      <w:r>
        <w:rPr>
          <w:rFonts w:hint="eastAsia" w:ascii="方正小标宋简体" w:hAnsi="方正小标宋简体" w:eastAsia="方正小标宋简体" w:cs="方正小标宋简体"/>
          <w:sz w:val="30"/>
          <w:szCs w:val="30"/>
          <w:highlight w:val="none"/>
        </w:rPr>
        <w:t>海口市农村社会养老保险局概况</w:t>
      </w:r>
    </w:p>
    <w:p>
      <w:pPr>
        <w:jc w:val="left"/>
        <w:rPr>
          <w:rFonts w:hint="eastAsia" w:ascii="仿宋" w:hAnsi="仿宋" w:eastAsia="仿宋" w:cs="仿宋"/>
          <w:sz w:val="30"/>
          <w:szCs w:val="30"/>
          <w:highlight w:val="none"/>
        </w:rPr>
      </w:pPr>
    </w:p>
    <w:p>
      <w:pPr>
        <w:pStyle w:val="7"/>
        <w:numPr>
          <w:ilvl w:val="0"/>
          <w:numId w:val="0"/>
        </w:numPr>
        <w:ind w:leftChars="0" w:firstLine="600" w:firstLineChars="200"/>
        <w:jc w:val="left"/>
        <w:rPr>
          <w:rFonts w:hint="eastAsia" w:ascii="黑体" w:hAnsi="黑体" w:eastAsia="黑体" w:cs="黑体"/>
          <w:sz w:val="30"/>
          <w:szCs w:val="30"/>
          <w:highlight w:val="none"/>
          <w:lang w:val="en-US" w:eastAsia="zh-CN"/>
        </w:rPr>
      </w:pPr>
      <w:r>
        <w:rPr>
          <w:rFonts w:hint="eastAsia" w:ascii="黑体" w:hAnsi="黑体" w:eastAsia="黑体" w:cs="黑体"/>
          <w:sz w:val="30"/>
          <w:szCs w:val="30"/>
          <w:highlight w:val="none"/>
          <w:lang w:eastAsia="zh-CN"/>
        </w:rPr>
        <w:t>一、基本情况</w:t>
      </w:r>
    </w:p>
    <w:p>
      <w:pPr>
        <w:ind w:firstLine="600" w:firstLineChars="200"/>
        <w:rPr>
          <w:rFonts w:hint="eastAsia" w:ascii="仿宋_GB2312" w:eastAsia="仿宋_GB2312"/>
          <w:sz w:val="30"/>
          <w:szCs w:val="30"/>
          <w:highlight w:val="none"/>
        </w:rPr>
      </w:pPr>
      <w:r>
        <w:rPr>
          <w:rFonts w:hint="eastAsia" w:ascii="仿宋_GB2312" w:eastAsia="仿宋_GB2312"/>
          <w:sz w:val="30"/>
          <w:szCs w:val="30"/>
          <w:highlight w:val="none"/>
        </w:rPr>
        <w:t>根据《海口市机构编制委员会文件》海编[2010]30号，关于印发海口市农村社会养老保险局机构编制方案机构编制方案的通知，于2010年2月3日同意海口市农村社会养老保险办公室更名为海口市农村社会养老保险局。海口市农村社会养老保险局隶属海口市人力资源和社会保障局，为副处级事业单位。</w:t>
      </w:r>
    </w:p>
    <w:p>
      <w:pPr>
        <w:ind w:firstLine="600" w:firstLineChars="200"/>
        <w:rPr>
          <w:rFonts w:hint="eastAsia" w:ascii="黑体" w:hAnsi="黑体" w:eastAsia="黑体" w:cs="黑体"/>
          <w:sz w:val="30"/>
          <w:szCs w:val="30"/>
          <w:highlight w:val="none"/>
        </w:rPr>
      </w:pPr>
      <w:r>
        <w:rPr>
          <w:rFonts w:hint="eastAsia" w:ascii="黑体" w:hAnsi="黑体" w:eastAsia="黑体" w:cs="黑体"/>
          <w:sz w:val="30"/>
          <w:szCs w:val="30"/>
          <w:highlight w:val="none"/>
          <w:lang w:eastAsia="zh-CN"/>
        </w:rPr>
        <w:t>二、</w:t>
      </w:r>
      <w:r>
        <w:rPr>
          <w:rFonts w:hint="eastAsia" w:ascii="黑体" w:hAnsi="黑体" w:eastAsia="黑体" w:cs="黑体"/>
          <w:sz w:val="30"/>
          <w:szCs w:val="30"/>
          <w:highlight w:val="none"/>
        </w:rPr>
        <w:t>主要工作职能</w:t>
      </w:r>
    </w:p>
    <w:p>
      <w:pPr>
        <w:ind w:firstLine="480" w:firstLineChars="150"/>
        <w:rPr>
          <w:rFonts w:hint="eastAsia" w:ascii="仿宋" w:hAnsi="仿宋" w:eastAsia="仿宋" w:cs="仿宋"/>
          <w:sz w:val="32"/>
          <w:szCs w:val="32"/>
          <w:highlight w:val="none"/>
        </w:rPr>
      </w:pPr>
      <w:r>
        <w:rPr>
          <w:rFonts w:hint="eastAsia" w:ascii="仿宋" w:hAnsi="仿宋" w:eastAsia="仿宋" w:cs="仿宋"/>
          <w:sz w:val="32"/>
          <w:szCs w:val="32"/>
          <w:highlight w:val="none"/>
        </w:rPr>
        <w:t>（一）负责组织指导我市各级城乡居民基本养老保险机构开展城乡居保经办管理服务工作,协调财政补贴资金及时划拨。</w:t>
      </w:r>
    </w:p>
    <w:p>
      <w:pPr>
        <w:ind w:firstLine="480" w:firstLineChars="150"/>
        <w:rPr>
          <w:rFonts w:hint="eastAsia" w:ascii="仿宋" w:hAnsi="仿宋" w:eastAsia="仿宋" w:cs="仿宋"/>
          <w:sz w:val="32"/>
          <w:szCs w:val="32"/>
          <w:highlight w:val="none"/>
        </w:rPr>
      </w:pPr>
      <w:r>
        <w:rPr>
          <w:rFonts w:hint="eastAsia" w:ascii="仿宋" w:hAnsi="仿宋" w:eastAsia="仿宋" w:cs="仿宋"/>
          <w:sz w:val="32"/>
          <w:szCs w:val="32"/>
          <w:highlight w:val="none"/>
        </w:rPr>
        <w:t>（二）负责制订实施我市城乡居民基本养老保险经办管理办法。</w:t>
      </w:r>
    </w:p>
    <w:p>
      <w:pPr>
        <w:ind w:firstLine="480" w:firstLineChars="150"/>
        <w:rPr>
          <w:rFonts w:hint="eastAsia" w:ascii="仿宋" w:hAnsi="仿宋" w:eastAsia="仿宋" w:cs="仿宋"/>
          <w:sz w:val="32"/>
          <w:szCs w:val="32"/>
          <w:highlight w:val="none"/>
        </w:rPr>
      </w:pPr>
      <w:r>
        <w:rPr>
          <w:rFonts w:hint="eastAsia" w:ascii="仿宋" w:hAnsi="仿宋" w:eastAsia="仿宋" w:cs="仿宋"/>
          <w:sz w:val="32"/>
          <w:szCs w:val="32"/>
          <w:highlight w:val="none"/>
        </w:rPr>
        <w:t>（三）参加制订实施我市城乡居民基本养老保险基金管理办法、财务管理细则。</w:t>
      </w:r>
    </w:p>
    <w:p>
      <w:pPr>
        <w:ind w:firstLine="480" w:firstLineChars="150"/>
        <w:rPr>
          <w:rFonts w:hint="eastAsia" w:ascii="仿宋" w:hAnsi="仿宋" w:eastAsia="仿宋" w:cs="仿宋"/>
          <w:sz w:val="32"/>
          <w:szCs w:val="32"/>
          <w:highlight w:val="none"/>
        </w:rPr>
      </w:pPr>
      <w:r>
        <w:rPr>
          <w:rFonts w:hint="eastAsia" w:ascii="仿宋" w:hAnsi="仿宋" w:eastAsia="仿宋" w:cs="仿宋"/>
          <w:sz w:val="32"/>
          <w:szCs w:val="32"/>
          <w:highlight w:val="none"/>
        </w:rPr>
        <w:t>（四）负责制订实施我市城乡居保内控和稽核制度，开展内控和稽核工作,协助税务部门进行城乡居保保费的征缴、养老金的社会化发放和管理工作。</w:t>
      </w:r>
    </w:p>
    <w:p>
      <w:pPr>
        <w:ind w:firstLine="480" w:firstLineChars="150"/>
        <w:rPr>
          <w:rFonts w:hint="eastAsia" w:ascii="仿宋" w:hAnsi="仿宋" w:eastAsia="仿宋" w:cs="仿宋"/>
          <w:sz w:val="32"/>
          <w:szCs w:val="32"/>
          <w:highlight w:val="none"/>
        </w:rPr>
      </w:pPr>
      <w:r>
        <w:rPr>
          <w:rFonts w:hint="eastAsia" w:ascii="仿宋" w:hAnsi="仿宋" w:eastAsia="仿宋" w:cs="仿宋"/>
          <w:sz w:val="32"/>
          <w:szCs w:val="32"/>
          <w:highlight w:val="none"/>
        </w:rPr>
        <w:t>（五）编制、汇总上报本级城乡居保基金财务、会计和统计报表，统一下发城乡居民基本养老保险专用表、卡及有关证件。办理参保人员的转保和退保手续。</w:t>
      </w:r>
    </w:p>
    <w:p>
      <w:pPr>
        <w:ind w:firstLine="480" w:firstLineChars="150"/>
        <w:rPr>
          <w:rFonts w:hint="eastAsia" w:ascii="仿宋" w:hAnsi="仿宋" w:eastAsia="仿宋" w:cs="仿宋"/>
          <w:sz w:val="32"/>
          <w:szCs w:val="32"/>
          <w:highlight w:val="none"/>
        </w:rPr>
      </w:pPr>
      <w:r>
        <w:rPr>
          <w:rFonts w:hint="eastAsia" w:ascii="仿宋" w:hAnsi="仿宋" w:eastAsia="仿宋" w:cs="仿宋"/>
          <w:sz w:val="32"/>
          <w:szCs w:val="32"/>
          <w:highlight w:val="none"/>
        </w:rPr>
        <w:t>（六）组织开展城乡居保经办人员培训，参与城乡居保信息化建设和管理工作。</w:t>
      </w:r>
    </w:p>
    <w:p>
      <w:pPr>
        <w:ind w:firstLine="480" w:firstLineChars="150"/>
        <w:rPr>
          <w:rFonts w:hint="eastAsia" w:ascii="仿宋" w:hAnsi="仿宋" w:eastAsia="仿宋" w:cs="仿宋"/>
          <w:sz w:val="32"/>
          <w:szCs w:val="32"/>
          <w:highlight w:val="none"/>
        </w:rPr>
      </w:pPr>
      <w:r>
        <w:rPr>
          <w:rFonts w:hint="eastAsia" w:ascii="仿宋" w:hAnsi="仿宋" w:eastAsia="仿宋" w:cs="仿宋"/>
          <w:sz w:val="32"/>
          <w:szCs w:val="32"/>
          <w:highlight w:val="none"/>
        </w:rPr>
        <w:t>（七）承办上级主管部门交办的其他工作。</w:t>
      </w:r>
    </w:p>
    <w:p>
      <w:pPr>
        <w:rPr>
          <w:rFonts w:hint="eastAsia" w:ascii="仿宋" w:hAnsi="仿宋" w:eastAsia="仿宋" w:cs="仿宋"/>
          <w:sz w:val="30"/>
          <w:szCs w:val="30"/>
          <w:highlight w:val="none"/>
        </w:rPr>
      </w:pPr>
    </w:p>
    <w:p>
      <w:pPr>
        <w:numPr>
          <w:ilvl w:val="0"/>
          <w:numId w:val="4"/>
        </w:numPr>
        <w:ind w:firstLine="600" w:firstLineChars="200"/>
        <w:jc w:val="center"/>
        <w:rPr>
          <w:rFonts w:hint="eastAsia" w:ascii="方正小标宋简体" w:hAnsi="方正小标宋简体" w:eastAsia="方正小标宋简体" w:cs="方正小标宋简体"/>
          <w:sz w:val="30"/>
          <w:szCs w:val="30"/>
          <w:highlight w:val="none"/>
        </w:rPr>
      </w:pPr>
      <w:r>
        <w:rPr>
          <w:rFonts w:hint="eastAsia" w:ascii="方正小标宋简体" w:hAnsi="方正小标宋简体" w:eastAsia="方正小标宋简体" w:cs="方正小标宋简体"/>
          <w:sz w:val="30"/>
          <w:szCs w:val="30"/>
          <w:highlight w:val="none"/>
          <w:lang w:eastAsia="zh-CN"/>
        </w:rPr>
        <w:t>海口市农村社会养老保险局</w:t>
      </w:r>
      <w:r>
        <w:rPr>
          <w:rFonts w:hint="eastAsia" w:ascii="方正小标宋简体" w:hAnsi="方正小标宋简体" w:eastAsia="方正小标宋简体" w:cs="方正小标宋简体"/>
          <w:sz w:val="30"/>
          <w:szCs w:val="30"/>
          <w:highlight w:val="none"/>
        </w:rPr>
        <w:t>预算表</w:t>
      </w:r>
    </w:p>
    <w:p>
      <w:pPr>
        <w:pStyle w:val="7"/>
        <w:numPr>
          <w:ilvl w:val="0"/>
          <w:numId w:val="5"/>
        </w:numPr>
        <w:rPr>
          <w:rFonts w:hint="eastAsia" w:ascii="黑体" w:hAnsi="黑体" w:eastAsia="黑体" w:cs="黑体"/>
          <w:sz w:val="30"/>
          <w:szCs w:val="30"/>
          <w:highlight w:val="none"/>
        </w:rPr>
      </w:pPr>
      <w:r>
        <w:rPr>
          <w:rFonts w:hint="eastAsia" w:ascii="黑体" w:hAnsi="黑体" w:eastAsia="黑体" w:cs="黑体"/>
          <w:sz w:val="30"/>
          <w:szCs w:val="30"/>
          <w:highlight w:val="none"/>
        </w:rPr>
        <w:t>财政拨款收支总表</w:t>
      </w:r>
    </w:p>
    <w:tbl>
      <w:tblPr>
        <w:tblW w:w="83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1981"/>
        <w:gridCol w:w="1155"/>
        <w:gridCol w:w="1840"/>
        <w:gridCol w:w="1212"/>
        <w:gridCol w:w="1080"/>
        <w:gridCol w:w="10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398" w:hRule="atLeast"/>
        </w:trPr>
        <w:tc>
          <w:tcPr>
            <w:tcW w:w="8330" w:type="dxa"/>
            <w:gridSpan w:val="6"/>
            <w:tcBorders>
              <w:top w:val="single" w:color="FFFFFF" w:sz="4" w:space="0"/>
              <w:left w:val="single" w:color="FFFFFF" w:sz="4" w:space="0"/>
              <w:bottom w:val="single" w:color="FFFFFF" w:sz="4" w:space="0"/>
              <w:right w:val="single" w:color="FFFFFF" w:sz="4" w:space="0"/>
            </w:tcBorders>
            <w:shd w:val="clear"/>
            <w:noWrap/>
            <w:tcMar>
              <w:top w:w="12" w:type="dxa"/>
              <w:left w:w="12" w:type="dxa"/>
              <w:right w:w="12" w:type="dxa"/>
            </w:tcMar>
            <w:vAlign w:val="center"/>
          </w:tcPr>
          <w:p>
            <w:pPr>
              <w:keepNext w:val="0"/>
              <w:keepLines w:val="0"/>
              <w:widowControl/>
              <w:suppressLineNumbers w:val="0"/>
              <w:jc w:val="center"/>
              <w:textAlignment w:val="center"/>
              <w:rPr>
                <w:rFonts w:ascii="黑体" w:hAnsi="宋体" w:eastAsia="黑体" w:cs="黑体"/>
                <w:b/>
                <w:i w:val="0"/>
                <w:color w:val="000000"/>
                <w:sz w:val="32"/>
                <w:szCs w:val="32"/>
                <w:highlight w:val="none"/>
                <w:u w:val="none"/>
              </w:rPr>
            </w:pPr>
            <w:r>
              <w:rPr>
                <w:rFonts w:hint="eastAsia" w:ascii="黑体" w:hAnsi="宋体" w:eastAsia="黑体" w:cs="黑体"/>
                <w:b/>
                <w:i w:val="0"/>
                <w:color w:val="000000"/>
                <w:kern w:val="0"/>
                <w:sz w:val="32"/>
                <w:szCs w:val="32"/>
                <w:highlight w:val="none"/>
                <w:u w:val="none"/>
                <w:bdr w:val="none" w:color="auto" w:sz="0" w:space="0"/>
                <w:lang w:val="en-US" w:eastAsia="zh-CN" w:bidi="ar"/>
              </w:rPr>
              <w:t>财政拨款收支总表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1" w:hRule="atLeast"/>
        </w:trPr>
        <w:tc>
          <w:tcPr>
            <w:tcW w:w="8330" w:type="dxa"/>
            <w:gridSpan w:val="6"/>
            <w:tcBorders>
              <w:top w:val="single" w:color="FFFFFF" w:sz="4" w:space="0"/>
              <w:left w:val="single" w:color="FFFFFF" w:sz="4" w:space="0"/>
              <w:bottom w:val="nil"/>
              <w:right w:val="single" w:color="FFFFFF"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ascii="宋体" w:hAnsi="宋体" w:eastAsia="宋体" w:cs="宋体"/>
                <w:i w:val="0"/>
                <w:color w:val="000000"/>
                <w:sz w:val="22"/>
                <w:szCs w:val="22"/>
                <w:highlight w:val="none"/>
                <w:u w:val="none"/>
              </w:rPr>
            </w:pPr>
            <w:r>
              <w:rPr>
                <w:rFonts w:ascii="宋体" w:hAnsi="宋体" w:eastAsia="宋体" w:cs="宋体"/>
                <w:i w:val="0"/>
                <w:color w:val="000000"/>
                <w:kern w:val="0"/>
                <w:sz w:val="22"/>
                <w:szCs w:val="22"/>
                <w:highlight w:val="none"/>
                <w:u w:val="none"/>
                <w:bdr w:val="none" w:color="auto" w:sz="0" w:space="0"/>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7" w:hRule="atLeast"/>
        </w:trPr>
        <w:tc>
          <w:tcPr>
            <w:tcW w:w="3136" w:type="dxa"/>
            <w:gridSpan w:val="2"/>
            <w:tcBorders>
              <w:top w:val="single" w:color="C2C3C4" w:sz="4" w:space="0"/>
              <w:left w:val="single" w:color="C2C3C4" w:sz="4" w:space="0"/>
              <w:bottom w:val="single" w:color="C2C3C4" w:sz="4" w:space="0"/>
              <w:right w:val="single" w:color="C2C3C4" w:sz="4" w:space="0"/>
            </w:tcBorders>
            <w:shd w:val="clear" w:color="EFF2F7" w:fill="EFF2F7"/>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收    入</w:t>
            </w:r>
          </w:p>
        </w:tc>
        <w:tc>
          <w:tcPr>
            <w:tcW w:w="5194" w:type="dxa"/>
            <w:gridSpan w:val="4"/>
            <w:tcBorders>
              <w:top w:val="single" w:color="C2C3C4" w:sz="4" w:space="0"/>
              <w:left w:val="single" w:color="C2C3C4" w:sz="4" w:space="0"/>
              <w:bottom w:val="single" w:color="C2C3C4" w:sz="4" w:space="0"/>
              <w:right w:val="single" w:color="C2C3C4" w:sz="4" w:space="0"/>
            </w:tcBorders>
            <w:shd w:val="clear" w:color="EFF2F7" w:fill="EFF2F7"/>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7" w:hRule="atLeast"/>
        </w:trPr>
        <w:tc>
          <w:tcPr>
            <w:tcW w:w="1981" w:type="dxa"/>
            <w:tcBorders>
              <w:top w:val="single" w:color="C2C3C4" w:sz="4" w:space="0"/>
              <w:left w:val="single" w:color="C2C3C4" w:sz="4" w:space="0"/>
              <w:bottom w:val="single" w:color="C2C3C4" w:sz="4" w:space="0"/>
              <w:right w:val="single" w:color="C2C3C4" w:sz="4" w:space="0"/>
            </w:tcBorders>
            <w:shd w:val="clear" w:color="EFF2F7" w:fill="EFF2F7"/>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项    目</w:t>
            </w:r>
          </w:p>
        </w:tc>
        <w:tc>
          <w:tcPr>
            <w:tcW w:w="1155" w:type="dxa"/>
            <w:tcBorders>
              <w:top w:val="single" w:color="C2C3C4" w:sz="4" w:space="0"/>
              <w:left w:val="single" w:color="C2C3C4" w:sz="4" w:space="0"/>
              <w:bottom w:val="single" w:color="C2C3C4" w:sz="4" w:space="0"/>
              <w:right w:val="single" w:color="C2C3C4" w:sz="4" w:space="0"/>
            </w:tcBorders>
            <w:shd w:val="clear" w:color="EFF2F7" w:fill="EFF2F7"/>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预算数</w:t>
            </w:r>
          </w:p>
        </w:tc>
        <w:tc>
          <w:tcPr>
            <w:tcW w:w="1840" w:type="dxa"/>
            <w:tcBorders>
              <w:top w:val="single" w:color="C2C3C4" w:sz="4" w:space="0"/>
              <w:left w:val="single" w:color="C2C3C4" w:sz="4" w:space="0"/>
              <w:bottom w:val="single" w:color="C2C3C4" w:sz="4" w:space="0"/>
              <w:right w:val="single" w:color="C2C3C4" w:sz="4" w:space="0"/>
            </w:tcBorders>
            <w:shd w:val="clear" w:color="EFF2F7" w:fill="EFF2F7"/>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项    目</w:t>
            </w:r>
          </w:p>
        </w:tc>
        <w:tc>
          <w:tcPr>
            <w:tcW w:w="1212" w:type="dxa"/>
            <w:tcBorders>
              <w:top w:val="single" w:color="C2C3C4" w:sz="4" w:space="0"/>
              <w:left w:val="single" w:color="C2C3C4" w:sz="4" w:space="0"/>
              <w:bottom w:val="single" w:color="C2C3C4" w:sz="4" w:space="0"/>
              <w:right w:val="single" w:color="C2C3C4" w:sz="4" w:space="0"/>
            </w:tcBorders>
            <w:shd w:val="clear" w:color="EFF2F7" w:fill="EFF2F7"/>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合计</w:t>
            </w:r>
          </w:p>
        </w:tc>
        <w:tc>
          <w:tcPr>
            <w:tcW w:w="1080" w:type="dxa"/>
            <w:tcBorders>
              <w:top w:val="single" w:color="C2C3C4" w:sz="4" w:space="0"/>
              <w:left w:val="single" w:color="C2C3C4" w:sz="4" w:space="0"/>
              <w:bottom w:val="single" w:color="C2C3C4" w:sz="4" w:space="0"/>
              <w:right w:val="single" w:color="C2C3C4" w:sz="4" w:space="0"/>
            </w:tcBorders>
            <w:shd w:val="clear" w:color="EFF2F7" w:fill="EFF2F7"/>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一般公共预算</w:t>
            </w:r>
          </w:p>
        </w:tc>
        <w:tc>
          <w:tcPr>
            <w:tcW w:w="1062" w:type="dxa"/>
            <w:tcBorders>
              <w:top w:val="single" w:color="C2C3C4" w:sz="4" w:space="0"/>
              <w:left w:val="single" w:color="C2C3C4" w:sz="4" w:space="0"/>
              <w:bottom w:val="single" w:color="C2C3C4" w:sz="4" w:space="0"/>
              <w:right w:val="single" w:color="C2C3C4" w:sz="4" w:space="0"/>
            </w:tcBorders>
            <w:shd w:val="clear" w:color="EFF2F7" w:fill="EFF2F7"/>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政府性基金预算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1981"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一、本年收入</w:t>
            </w:r>
          </w:p>
        </w:tc>
        <w:tc>
          <w:tcPr>
            <w:tcW w:w="1155"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27,987.59</w:t>
            </w:r>
          </w:p>
        </w:tc>
        <w:tc>
          <w:tcPr>
            <w:tcW w:w="184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一、本年支出</w:t>
            </w:r>
          </w:p>
        </w:tc>
        <w:tc>
          <w:tcPr>
            <w:tcW w:w="121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27,987.59</w:t>
            </w:r>
          </w:p>
        </w:tc>
        <w:tc>
          <w:tcPr>
            <w:tcW w:w="108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27,987.59</w:t>
            </w:r>
          </w:p>
        </w:tc>
        <w:tc>
          <w:tcPr>
            <w:tcW w:w="106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1981"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一般公共预算资金</w:t>
            </w:r>
          </w:p>
        </w:tc>
        <w:tc>
          <w:tcPr>
            <w:tcW w:w="1155"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27,987.59</w:t>
            </w:r>
          </w:p>
        </w:tc>
        <w:tc>
          <w:tcPr>
            <w:tcW w:w="1840"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一般公共服务支出</w:t>
            </w:r>
          </w:p>
        </w:tc>
        <w:tc>
          <w:tcPr>
            <w:tcW w:w="121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8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6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1981"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政府性基金预算资金</w:t>
            </w:r>
          </w:p>
        </w:tc>
        <w:tc>
          <w:tcPr>
            <w:tcW w:w="1155"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40"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外交支出</w:t>
            </w:r>
          </w:p>
        </w:tc>
        <w:tc>
          <w:tcPr>
            <w:tcW w:w="121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8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6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1981"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155"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40"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国防支出</w:t>
            </w:r>
          </w:p>
        </w:tc>
        <w:tc>
          <w:tcPr>
            <w:tcW w:w="121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8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6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1981"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155"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40"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公共安全支出</w:t>
            </w:r>
          </w:p>
        </w:tc>
        <w:tc>
          <w:tcPr>
            <w:tcW w:w="121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8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6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1981"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155"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40"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教育支出</w:t>
            </w:r>
          </w:p>
        </w:tc>
        <w:tc>
          <w:tcPr>
            <w:tcW w:w="121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8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6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1981"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155"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40"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科学技术支出</w:t>
            </w:r>
          </w:p>
        </w:tc>
        <w:tc>
          <w:tcPr>
            <w:tcW w:w="121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8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6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1981"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155"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40"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文化旅游体育与传媒支出</w:t>
            </w:r>
          </w:p>
        </w:tc>
        <w:tc>
          <w:tcPr>
            <w:tcW w:w="121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8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6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1981"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155"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40"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社会保障和就业支出</w:t>
            </w:r>
          </w:p>
        </w:tc>
        <w:tc>
          <w:tcPr>
            <w:tcW w:w="121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27,944.94</w:t>
            </w:r>
          </w:p>
        </w:tc>
        <w:tc>
          <w:tcPr>
            <w:tcW w:w="108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27,944.94</w:t>
            </w:r>
          </w:p>
        </w:tc>
        <w:tc>
          <w:tcPr>
            <w:tcW w:w="106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1981"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155"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40"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社会保险基金支出</w:t>
            </w:r>
          </w:p>
        </w:tc>
        <w:tc>
          <w:tcPr>
            <w:tcW w:w="121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8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6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1981"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155"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40"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卫生健康支出</w:t>
            </w:r>
          </w:p>
        </w:tc>
        <w:tc>
          <w:tcPr>
            <w:tcW w:w="121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25.50</w:t>
            </w:r>
          </w:p>
        </w:tc>
        <w:tc>
          <w:tcPr>
            <w:tcW w:w="108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25.50</w:t>
            </w:r>
          </w:p>
        </w:tc>
        <w:tc>
          <w:tcPr>
            <w:tcW w:w="106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1981"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155"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40"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节能环保支出</w:t>
            </w:r>
          </w:p>
        </w:tc>
        <w:tc>
          <w:tcPr>
            <w:tcW w:w="121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8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6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1981"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155"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40"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城乡社区支出</w:t>
            </w:r>
          </w:p>
        </w:tc>
        <w:tc>
          <w:tcPr>
            <w:tcW w:w="121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8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6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1981"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155"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40"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农林水支出</w:t>
            </w:r>
          </w:p>
        </w:tc>
        <w:tc>
          <w:tcPr>
            <w:tcW w:w="121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8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6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1981"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155"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40"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交通运输支出</w:t>
            </w:r>
          </w:p>
        </w:tc>
        <w:tc>
          <w:tcPr>
            <w:tcW w:w="121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8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6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1981"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155"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40"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资源勘探工业信息等支出</w:t>
            </w:r>
          </w:p>
        </w:tc>
        <w:tc>
          <w:tcPr>
            <w:tcW w:w="121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8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6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1981"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155"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40"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商业服务业等支出</w:t>
            </w:r>
          </w:p>
        </w:tc>
        <w:tc>
          <w:tcPr>
            <w:tcW w:w="121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8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6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1981"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155"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40"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金融支出</w:t>
            </w:r>
          </w:p>
        </w:tc>
        <w:tc>
          <w:tcPr>
            <w:tcW w:w="121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8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6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1981"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155"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40"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援助其他地区支出</w:t>
            </w:r>
          </w:p>
        </w:tc>
        <w:tc>
          <w:tcPr>
            <w:tcW w:w="121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8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6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1981"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155"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40"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自然资源海洋气象等支出</w:t>
            </w:r>
          </w:p>
        </w:tc>
        <w:tc>
          <w:tcPr>
            <w:tcW w:w="121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8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6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1981"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155"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40"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住房保障支出</w:t>
            </w:r>
          </w:p>
        </w:tc>
        <w:tc>
          <w:tcPr>
            <w:tcW w:w="121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17.15</w:t>
            </w:r>
          </w:p>
        </w:tc>
        <w:tc>
          <w:tcPr>
            <w:tcW w:w="108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17.15</w:t>
            </w:r>
          </w:p>
        </w:tc>
        <w:tc>
          <w:tcPr>
            <w:tcW w:w="106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1981"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155"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40"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粮油物资储备支出</w:t>
            </w:r>
          </w:p>
        </w:tc>
        <w:tc>
          <w:tcPr>
            <w:tcW w:w="121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8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6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1981"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155"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40"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国有资本经营预算支出</w:t>
            </w:r>
          </w:p>
        </w:tc>
        <w:tc>
          <w:tcPr>
            <w:tcW w:w="121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8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6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1981"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155"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40"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灾害防治及应急管理支出</w:t>
            </w:r>
          </w:p>
        </w:tc>
        <w:tc>
          <w:tcPr>
            <w:tcW w:w="121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8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6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1981"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155"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40"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预备费</w:t>
            </w:r>
          </w:p>
        </w:tc>
        <w:tc>
          <w:tcPr>
            <w:tcW w:w="121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8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6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1981"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155"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40"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其他支出</w:t>
            </w:r>
          </w:p>
        </w:tc>
        <w:tc>
          <w:tcPr>
            <w:tcW w:w="121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8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6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1981"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155"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40"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转移性支出</w:t>
            </w:r>
          </w:p>
        </w:tc>
        <w:tc>
          <w:tcPr>
            <w:tcW w:w="121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8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6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1981"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155"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40"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债务还本支出</w:t>
            </w:r>
          </w:p>
        </w:tc>
        <w:tc>
          <w:tcPr>
            <w:tcW w:w="121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8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6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1981"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155"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40"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债务付息支出</w:t>
            </w:r>
          </w:p>
        </w:tc>
        <w:tc>
          <w:tcPr>
            <w:tcW w:w="121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8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6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1981"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155"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40"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债务发行费用支出</w:t>
            </w:r>
          </w:p>
        </w:tc>
        <w:tc>
          <w:tcPr>
            <w:tcW w:w="121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8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6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1981"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155"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40"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抗疫特别国债安排的支出</w:t>
            </w:r>
          </w:p>
        </w:tc>
        <w:tc>
          <w:tcPr>
            <w:tcW w:w="121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8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6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1981"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二、上年结转</w:t>
            </w:r>
          </w:p>
        </w:tc>
        <w:tc>
          <w:tcPr>
            <w:tcW w:w="1155"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4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二、结转下年</w:t>
            </w:r>
          </w:p>
        </w:tc>
        <w:tc>
          <w:tcPr>
            <w:tcW w:w="121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8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6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1981"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（一）一般公共预算拨款</w:t>
            </w:r>
          </w:p>
        </w:tc>
        <w:tc>
          <w:tcPr>
            <w:tcW w:w="1155"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4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21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8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6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1981"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（二）政府性基金预算拨款</w:t>
            </w:r>
          </w:p>
        </w:tc>
        <w:tc>
          <w:tcPr>
            <w:tcW w:w="1155"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4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21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8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6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1981"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收入总计</w:t>
            </w:r>
          </w:p>
        </w:tc>
        <w:tc>
          <w:tcPr>
            <w:tcW w:w="1155"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27,987.59</w:t>
            </w:r>
          </w:p>
        </w:tc>
        <w:tc>
          <w:tcPr>
            <w:tcW w:w="18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支出总计</w:t>
            </w:r>
          </w:p>
        </w:tc>
        <w:tc>
          <w:tcPr>
            <w:tcW w:w="121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27,987.59</w:t>
            </w:r>
          </w:p>
        </w:tc>
        <w:tc>
          <w:tcPr>
            <w:tcW w:w="108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27,987.59</w:t>
            </w:r>
          </w:p>
        </w:tc>
        <w:tc>
          <w:tcPr>
            <w:tcW w:w="1062"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b/>
                <w:i w:val="0"/>
                <w:color w:val="000000"/>
                <w:sz w:val="22"/>
                <w:szCs w:val="22"/>
                <w:highlight w:val="none"/>
                <w:u w:val="none"/>
              </w:rPr>
            </w:pPr>
          </w:p>
        </w:tc>
      </w:tr>
    </w:tbl>
    <w:p>
      <w:pPr>
        <w:pStyle w:val="7"/>
        <w:numPr>
          <w:ilvl w:val="0"/>
          <w:numId w:val="0"/>
        </w:numPr>
        <w:ind w:leftChars="200"/>
        <w:rPr>
          <w:rFonts w:hint="eastAsia" w:ascii="黑体" w:hAnsi="黑体" w:eastAsia="黑体" w:cs="黑体"/>
          <w:sz w:val="30"/>
          <w:szCs w:val="30"/>
          <w:highlight w:val="none"/>
          <w:lang w:eastAsia="zh-CN"/>
        </w:rPr>
      </w:pPr>
    </w:p>
    <w:p>
      <w:pPr>
        <w:pStyle w:val="7"/>
        <w:numPr>
          <w:ilvl w:val="0"/>
          <w:numId w:val="0"/>
        </w:numPr>
        <w:ind w:leftChars="200"/>
        <w:rPr>
          <w:rFonts w:hint="eastAsia" w:ascii="黑体" w:hAnsi="黑体" w:eastAsia="黑体" w:cs="黑体"/>
          <w:sz w:val="30"/>
          <w:szCs w:val="30"/>
          <w:highlight w:val="none"/>
        </w:rPr>
      </w:pPr>
      <w:r>
        <w:rPr>
          <w:rFonts w:hint="eastAsia" w:ascii="黑体" w:hAnsi="黑体" w:eastAsia="黑体" w:cs="黑体"/>
          <w:sz w:val="30"/>
          <w:szCs w:val="30"/>
          <w:highlight w:val="none"/>
          <w:lang w:eastAsia="zh-CN"/>
        </w:rPr>
        <w:t>二、</w:t>
      </w:r>
      <w:r>
        <w:rPr>
          <w:rFonts w:hint="eastAsia" w:ascii="黑体" w:hAnsi="黑体" w:eastAsia="黑体" w:cs="黑体"/>
          <w:sz w:val="30"/>
          <w:szCs w:val="30"/>
          <w:highlight w:val="none"/>
        </w:rPr>
        <w:t>一般公共预算支出表</w:t>
      </w:r>
    </w:p>
    <w:tbl>
      <w:tblPr>
        <w:tblW w:w="83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566"/>
        <w:gridCol w:w="565"/>
        <w:gridCol w:w="566"/>
        <w:gridCol w:w="3015"/>
        <w:gridCol w:w="1206"/>
        <w:gridCol w:w="1206"/>
        <w:gridCol w:w="12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398" w:hRule="atLeast"/>
        </w:trPr>
        <w:tc>
          <w:tcPr>
            <w:tcW w:w="8330" w:type="dxa"/>
            <w:gridSpan w:val="7"/>
            <w:tcBorders>
              <w:top w:val="single" w:color="FFFFFF" w:sz="4" w:space="0"/>
              <w:left w:val="single" w:color="FFFFFF" w:sz="4" w:space="0"/>
              <w:bottom w:val="single" w:color="FFFFFF" w:sz="4" w:space="0"/>
              <w:right w:val="single" w:color="FFFFFF" w:sz="4" w:space="0"/>
            </w:tcBorders>
            <w:shd w:val="clear"/>
            <w:noWrap/>
            <w:tcMar>
              <w:top w:w="12" w:type="dxa"/>
              <w:left w:w="12" w:type="dxa"/>
              <w:right w:w="12" w:type="dxa"/>
            </w:tcMar>
            <w:vAlign w:val="center"/>
          </w:tcPr>
          <w:p>
            <w:pPr>
              <w:keepNext w:val="0"/>
              <w:keepLines w:val="0"/>
              <w:widowControl/>
              <w:suppressLineNumbers w:val="0"/>
              <w:jc w:val="center"/>
              <w:textAlignment w:val="center"/>
              <w:rPr>
                <w:rFonts w:ascii="黑体" w:hAnsi="宋体" w:eastAsia="黑体" w:cs="黑体"/>
                <w:b/>
                <w:i w:val="0"/>
                <w:color w:val="000000"/>
                <w:sz w:val="32"/>
                <w:szCs w:val="32"/>
                <w:highlight w:val="none"/>
                <w:u w:val="none"/>
              </w:rPr>
            </w:pPr>
            <w:r>
              <w:rPr>
                <w:rFonts w:hint="eastAsia" w:ascii="黑体" w:hAnsi="宋体" w:eastAsia="黑体" w:cs="黑体"/>
                <w:b/>
                <w:i w:val="0"/>
                <w:color w:val="000000"/>
                <w:kern w:val="0"/>
                <w:sz w:val="32"/>
                <w:szCs w:val="32"/>
                <w:highlight w:val="none"/>
                <w:u w:val="none"/>
                <w:bdr w:val="none" w:color="auto" w:sz="0" w:space="0"/>
                <w:lang w:val="en-US" w:eastAsia="zh-CN" w:bidi="ar"/>
              </w:rPr>
              <w:t>一般公共预算支出表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1" w:hRule="atLeast"/>
        </w:trPr>
        <w:tc>
          <w:tcPr>
            <w:tcW w:w="8330" w:type="dxa"/>
            <w:gridSpan w:val="7"/>
            <w:tcBorders>
              <w:top w:val="single" w:color="FFFFFF" w:sz="4" w:space="0"/>
              <w:left w:val="single" w:color="FFFFFF" w:sz="4" w:space="0"/>
              <w:bottom w:val="nil"/>
              <w:right w:val="single" w:color="FFFFFF" w:sz="4" w:space="0"/>
            </w:tcBorders>
            <w:shd w:val="clear"/>
            <w:tcMar>
              <w:top w:w="12" w:type="dxa"/>
              <w:left w:w="12" w:type="dxa"/>
              <w:right w:w="12" w:type="dxa"/>
            </w:tcMar>
            <w:vAlign w:val="center"/>
          </w:tcPr>
          <w:p>
            <w:pPr>
              <w:keepNext w:val="0"/>
              <w:keepLines w:val="0"/>
              <w:widowControl/>
              <w:suppressLineNumbers w:val="0"/>
              <w:jc w:val="right"/>
              <w:textAlignment w:val="center"/>
              <w:rPr>
                <w:rFonts w:ascii="宋体" w:hAnsi="宋体" w:eastAsia="宋体" w:cs="宋体"/>
                <w:i w:val="0"/>
                <w:color w:val="000000"/>
                <w:sz w:val="22"/>
                <w:szCs w:val="22"/>
                <w:highlight w:val="none"/>
                <w:u w:val="none"/>
              </w:rPr>
            </w:pPr>
            <w:r>
              <w:rPr>
                <w:rFonts w:ascii="宋体" w:hAnsi="宋体" w:eastAsia="宋体" w:cs="宋体"/>
                <w:i w:val="0"/>
                <w:color w:val="000000"/>
                <w:kern w:val="0"/>
                <w:sz w:val="22"/>
                <w:szCs w:val="22"/>
                <w:highlight w:val="none"/>
                <w:u w:val="none"/>
                <w:bdr w:val="none" w:color="auto" w:sz="0" w:space="0"/>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7" w:hRule="atLeast"/>
        </w:trPr>
        <w:tc>
          <w:tcPr>
            <w:tcW w:w="4712" w:type="dxa"/>
            <w:gridSpan w:val="4"/>
            <w:tcBorders>
              <w:top w:val="single" w:color="C2C3C4" w:sz="4" w:space="0"/>
              <w:left w:val="single" w:color="C2C3C4" w:sz="4" w:space="0"/>
              <w:bottom w:val="single" w:color="C2C3C4" w:sz="4" w:space="0"/>
              <w:right w:val="single" w:color="C2C3C4" w:sz="4" w:space="0"/>
            </w:tcBorders>
            <w:shd w:val="clear" w:color="EFF2F7" w:fill="EFF2F7"/>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支出功能分类科目</w:t>
            </w:r>
          </w:p>
        </w:tc>
        <w:tc>
          <w:tcPr>
            <w:tcW w:w="3618" w:type="dxa"/>
            <w:gridSpan w:val="3"/>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2024年预算数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7" w:hRule="atLeast"/>
        </w:trPr>
        <w:tc>
          <w:tcPr>
            <w:tcW w:w="1697" w:type="dxa"/>
            <w:gridSpan w:val="3"/>
            <w:tcBorders>
              <w:top w:val="single" w:color="C2C3C4" w:sz="4" w:space="0"/>
              <w:left w:val="single" w:color="C2C3C4" w:sz="4" w:space="0"/>
              <w:bottom w:val="single" w:color="C2C3C4" w:sz="4" w:space="0"/>
              <w:right w:val="single" w:color="C2C3C4" w:sz="4" w:space="0"/>
            </w:tcBorders>
            <w:shd w:val="clear" w:color="EFF2F7" w:fill="EFF2F7"/>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科目编码</w:t>
            </w:r>
          </w:p>
        </w:tc>
        <w:tc>
          <w:tcPr>
            <w:tcW w:w="3015" w:type="dxa"/>
            <w:vMerge w:val="restart"/>
            <w:tcBorders>
              <w:top w:val="single" w:color="C2C3C4" w:sz="4" w:space="0"/>
              <w:left w:val="single" w:color="C2C3C4" w:sz="4" w:space="0"/>
              <w:bottom w:val="single" w:color="C2C3C4" w:sz="4" w:space="0"/>
              <w:right w:val="single" w:color="C2C3C4" w:sz="4" w:space="0"/>
            </w:tcBorders>
            <w:shd w:val="clear" w:color="EFF2F7" w:fill="EFF2F7"/>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科目名称</w:t>
            </w:r>
          </w:p>
        </w:tc>
        <w:tc>
          <w:tcPr>
            <w:tcW w:w="1206" w:type="dxa"/>
            <w:vMerge w:val="restart"/>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合计</w:t>
            </w:r>
          </w:p>
        </w:tc>
        <w:tc>
          <w:tcPr>
            <w:tcW w:w="1206" w:type="dxa"/>
            <w:vMerge w:val="restart"/>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基本支出</w:t>
            </w:r>
          </w:p>
        </w:tc>
        <w:tc>
          <w:tcPr>
            <w:tcW w:w="1206" w:type="dxa"/>
            <w:vMerge w:val="restart"/>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7" w:hRule="atLeast"/>
        </w:trPr>
        <w:tc>
          <w:tcPr>
            <w:tcW w:w="566" w:type="dxa"/>
            <w:tcBorders>
              <w:top w:val="single" w:color="C2C3C4" w:sz="4" w:space="0"/>
              <w:left w:val="single" w:color="C2C3C4" w:sz="4" w:space="0"/>
              <w:bottom w:val="single" w:color="C2C3C4" w:sz="4" w:space="0"/>
              <w:right w:val="single" w:color="C2C3C4" w:sz="4" w:space="0"/>
            </w:tcBorders>
            <w:shd w:val="clear" w:color="EFF2F7" w:fill="EFF2F7"/>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类</w:t>
            </w:r>
          </w:p>
        </w:tc>
        <w:tc>
          <w:tcPr>
            <w:tcW w:w="565" w:type="dxa"/>
            <w:tcBorders>
              <w:top w:val="single" w:color="C2C3C4" w:sz="4" w:space="0"/>
              <w:left w:val="single" w:color="C2C3C4" w:sz="4" w:space="0"/>
              <w:bottom w:val="single" w:color="C2C3C4" w:sz="4" w:space="0"/>
              <w:right w:val="single" w:color="C2C3C4" w:sz="4" w:space="0"/>
            </w:tcBorders>
            <w:shd w:val="clear" w:color="EFF2F7" w:fill="EFF2F7"/>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款</w:t>
            </w:r>
          </w:p>
        </w:tc>
        <w:tc>
          <w:tcPr>
            <w:tcW w:w="566" w:type="dxa"/>
            <w:tcBorders>
              <w:top w:val="single" w:color="C2C3C4" w:sz="4" w:space="0"/>
              <w:left w:val="single" w:color="C2C3C4" w:sz="4" w:space="0"/>
              <w:bottom w:val="single" w:color="C2C3C4" w:sz="4" w:space="0"/>
              <w:right w:val="single" w:color="C2C3C4" w:sz="4" w:space="0"/>
            </w:tcBorders>
            <w:shd w:val="clear" w:color="EFF2F7" w:fill="EFF2F7"/>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项</w:t>
            </w:r>
          </w:p>
        </w:tc>
        <w:tc>
          <w:tcPr>
            <w:tcW w:w="3015" w:type="dxa"/>
            <w:vMerge w:val="continue"/>
            <w:tcBorders>
              <w:top w:val="single" w:color="C2C3C4" w:sz="4" w:space="0"/>
              <w:left w:val="single" w:color="C2C3C4" w:sz="4" w:space="0"/>
              <w:bottom w:val="single" w:color="C2C3C4" w:sz="4" w:space="0"/>
              <w:right w:val="single" w:color="C2C3C4" w:sz="4" w:space="0"/>
            </w:tcBorders>
            <w:shd w:val="clear" w:color="EFF2F7" w:fill="EFF2F7"/>
            <w:noWrap/>
            <w:tcMar>
              <w:top w:w="12" w:type="dxa"/>
              <w:left w:w="12" w:type="dxa"/>
              <w:right w:w="12" w:type="dxa"/>
            </w:tcMar>
            <w:vAlign w:val="center"/>
          </w:tcPr>
          <w:p>
            <w:pPr>
              <w:jc w:val="center"/>
              <w:rPr>
                <w:rFonts w:hint="eastAsia" w:ascii="宋体" w:hAnsi="宋体" w:eastAsia="宋体" w:cs="宋体"/>
                <w:b/>
                <w:i w:val="0"/>
                <w:color w:val="000000"/>
                <w:sz w:val="22"/>
                <w:szCs w:val="22"/>
                <w:highlight w:val="none"/>
                <w:u w:val="none"/>
              </w:rPr>
            </w:pPr>
          </w:p>
        </w:tc>
        <w:tc>
          <w:tcPr>
            <w:tcW w:w="1206" w:type="dxa"/>
            <w:vMerge w:val="continue"/>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jc w:val="center"/>
              <w:rPr>
                <w:rFonts w:hint="eastAsia" w:ascii="宋体" w:hAnsi="宋体" w:eastAsia="宋体" w:cs="宋体"/>
                <w:b/>
                <w:i w:val="0"/>
                <w:color w:val="000000"/>
                <w:sz w:val="22"/>
                <w:szCs w:val="22"/>
                <w:highlight w:val="none"/>
                <w:u w:val="none"/>
              </w:rPr>
            </w:pPr>
          </w:p>
        </w:tc>
        <w:tc>
          <w:tcPr>
            <w:tcW w:w="1206" w:type="dxa"/>
            <w:vMerge w:val="continue"/>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jc w:val="center"/>
              <w:rPr>
                <w:rFonts w:hint="eastAsia" w:ascii="宋体" w:hAnsi="宋体" w:eastAsia="宋体" w:cs="宋体"/>
                <w:b/>
                <w:i w:val="0"/>
                <w:color w:val="000000"/>
                <w:sz w:val="22"/>
                <w:szCs w:val="22"/>
                <w:highlight w:val="none"/>
                <w:u w:val="none"/>
              </w:rPr>
            </w:pPr>
          </w:p>
        </w:tc>
        <w:tc>
          <w:tcPr>
            <w:tcW w:w="1206" w:type="dxa"/>
            <w:vMerge w:val="continue"/>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jc w:val="center"/>
              <w:rPr>
                <w:rFonts w:hint="eastAsia" w:ascii="宋体" w:hAnsi="宋体" w:eastAsia="宋体" w:cs="宋体"/>
                <w:b/>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4712" w:type="dxa"/>
            <w:gridSpan w:val="4"/>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合    计</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ascii="宋体" w:hAnsi="宋体" w:eastAsia="宋体" w:cs="宋体"/>
                <w:b/>
                <w:i w:val="0"/>
                <w:color w:val="000000"/>
                <w:sz w:val="22"/>
                <w:szCs w:val="22"/>
                <w:highlight w:val="none"/>
                <w:u w:val="none"/>
              </w:rPr>
            </w:pPr>
            <w:r>
              <w:rPr>
                <w:rFonts w:ascii="宋体" w:hAnsi="宋体" w:eastAsia="宋体" w:cs="宋体"/>
                <w:b/>
                <w:i w:val="0"/>
                <w:color w:val="000000"/>
                <w:kern w:val="0"/>
                <w:sz w:val="22"/>
                <w:szCs w:val="22"/>
                <w:highlight w:val="none"/>
                <w:u w:val="none"/>
                <w:bdr w:val="none" w:color="auto" w:sz="0" w:space="0"/>
                <w:lang w:val="en-US" w:eastAsia="zh-CN" w:bidi="ar"/>
              </w:rPr>
              <w:t>27,987.59</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ascii="宋体" w:hAnsi="宋体" w:eastAsia="宋体" w:cs="宋体"/>
                <w:b/>
                <w:i w:val="0"/>
                <w:color w:val="000000"/>
                <w:sz w:val="22"/>
                <w:szCs w:val="22"/>
                <w:highlight w:val="none"/>
                <w:u w:val="none"/>
              </w:rPr>
            </w:pPr>
            <w:r>
              <w:rPr>
                <w:rFonts w:ascii="宋体" w:hAnsi="宋体" w:eastAsia="宋体" w:cs="宋体"/>
                <w:b/>
                <w:i w:val="0"/>
                <w:color w:val="000000"/>
                <w:kern w:val="0"/>
                <w:sz w:val="22"/>
                <w:szCs w:val="22"/>
                <w:highlight w:val="none"/>
                <w:u w:val="none"/>
                <w:bdr w:val="none" w:color="auto" w:sz="0" w:space="0"/>
                <w:lang w:val="en-US" w:eastAsia="zh-CN" w:bidi="ar"/>
              </w:rPr>
              <w:t>250.59</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ascii="宋体" w:hAnsi="宋体" w:eastAsia="宋体" w:cs="宋体"/>
                <w:b/>
                <w:i w:val="0"/>
                <w:color w:val="000000"/>
                <w:sz w:val="22"/>
                <w:szCs w:val="22"/>
                <w:highlight w:val="none"/>
                <w:u w:val="none"/>
              </w:rPr>
            </w:pPr>
            <w:r>
              <w:rPr>
                <w:rFonts w:ascii="宋体" w:hAnsi="宋体" w:eastAsia="宋体" w:cs="宋体"/>
                <w:b/>
                <w:i w:val="0"/>
                <w:color w:val="000000"/>
                <w:kern w:val="0"/>
                <w:sz w:val="22"/>
                <w:szCs w:val="22"/>
                <w:highlight w:val="none"/>
                <w:u w:val="none"/>
                <w:bdr w:val="none" w:color="auto" w:sz="0" w:space="0"/>
                <w:lang w:val="en-US" w:eastAsia="zh-CN" w:bidi="ar"/>
              </w:rPr>
              <w:t>27,737.00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208</w:t>
            </w:r>
          </w:p>
        </w:tc>
        <w:tc>
          <w:tcPr>
            <w:tcW w:w="565"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3015"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Style w:val="16"/>
                <w:highlight w:val="none"/>
                <w:bdr w:val="none" w:color="auto" w:sz="0" w:space="0"/>
                <w:lang w:val="en-US" w:eastAsia="zh-CN" w:bidi="ar"/>
              </w:rPr>
              <w:t>社会保障和就业支出</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27,944.94</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207.94</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27,737.00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5"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01</w:t>
            </w:r>
          </w:p>
        </w:tc>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3015"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Style w:val="16"/>
                <w:highlight w:val="none"/>
                <w:bdr w:val="none" w:color="auto" w:sz="0" w:space="0"/>
                <w:lang w:val="en-US" w:eastAsia="zh-CN" w:bidi="ar"/>
              </w:rPr>
              <w:t>人力资源和社会保障管理事务</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322.21</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172.21</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5"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01</w:t>
            </w:r>
          </w:p>
        </w:tc>
        <w:tc>
          <w:tcPr>
            <w:tcW w:w="3015"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Style w:val="16"/>
                <w:highlight w:val="none"/>
                <w:bdr w:val="none" w:color="auto" w:sz="0" w:space="0"/>
                <w:lang w:val="en-US" w:eastAsia="zh-CN" w:bidi="ar"/>
              </w:rPr>
              <w:t>行政运行</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172.21</w:t>
            </w:r>
          </w:p>
        </w:tc>
        <w:tc>
          <w:tcPr>
            <w:tcW w:w="1206"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172.21</w:t>
            </w:r>
          </w:p>
        </w:tc>
        <w:tc>
          <w:tcPr>
            <w:tcW w:w="1206"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5"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09</w:t>
            </w:r>
          </w:p>
        </w:tc>
        <w:tc>
          <w:tcPr>
            <w:tcW w:w="3015"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Style w:val="16"/>
                <w:highlight w:val="none"/>
                <w:bdr w:val="none" w:color="auto" w:sz="0" w:space="0"/>
                <w:lang w:val="en-US" w:eastAsia="zh-CN" w:bidi="ar"/>
              </w:rPr>
              <w:t>社会保险经办机构</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150.00</w:t>
            </w:r>
          </w:p>
        </w:tc>
        <w:tc>
          <w:tcPr>
            <w:tcW w:w="1206"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206"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5"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05</w:t>
            </w:r>
          </w:p>
        </w:tc>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3015"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Style w:val="16"/>
                <w:highlight w:val="none"/>
                <w:bdr w:val="none" w:color="auto" w:sz="0" w:space="0"/>
                <w:lang w:val="en-US" w:eastAsia="zh-CN" w:bidi="ar"/>
              </w:rPr>
              <w:t>行政事业单位养老支出</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35.73</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35.73</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5"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05</w:t>
            </w:r>
          </w:p>
        </w:tc>
        <w:tc>
          <w:tcPr>
            <w:tcW w:w="3015"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Style w:val="16"/>
                <w:highlight w:val="none"/>
                <w:bdr w:val="none" w:color="auto" w:sz="0" w:space="0"/>
                <w:lang w:val="en-US" w:eastAsia="zh-CN" w:bidi="ar"/>
              </w:rPr>
              <w:t>机关事业单位基本养老保险缴费支出</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18.62</w:t>
            </w:r>
          </w:p>
        </w:tc>
        <w:tc>
          <w:tcPr>
            <w:tcW w:w="1206"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18.62</w:t>
            </w:r>
          </w:p>
        </w:tc>
        <w:tc>
          <w:tcPr>
            <w:tcW w:w="1206"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5"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06</w:t>
            </w:r>
          </w:p>
        </w:tc>
        <w:tc>
          <w:tcPr>
            <w:tcW w:w="3015"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Style w:val="16"/>
                <w:highlight w:val="none"/>
                <w:bdr w:val="none" w:color="auto" w:sz="0" w:space="0"/>
                <w:lang w:val="en-US" w:eastAsia="zh-CN" w:bidi="ar"/>
              </w:rPr>
              <w:t>机关事业单位职业年金缴费支出</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9.31</w:t>
            </w:r>
          </w:p>
        </w:tc>
        <w:tc>
          <w:tcPr>
            <w:tcW w:w="1206"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9.31</w:t>
            </w:r>
          </w:p>
        </w:tc>
        <w:tc>
          <w:tcPr>
            <w:tcW w:w="1206"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5"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99</w:t>
            </w:r>
          </w:p>
        </w:tc>
        <w:tc>
          <w:tcPr>
            <w:tcW w:w="3015"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Style w:val="16"/>
                <w:highlight w:val="none"/>
                <w:bdr w:val="none" w:color="auto" w:sz="0" w:space="0"/>
                <w:lang w:val="en-US" w:eastAsia="zh-CN" w:bidi="ar"/>
              </w:rPr>
              <w:t>其他行政事业单位养老支出</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7.80</w:t>
            </w:r>
          </w:p>
        </w:tc>
        <w:tc>
          <w:tcPr>
            <w:tcW w:w="1206"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7.80</w:t>
            </w:r>
          </w:p>
        </w:tc>
        <w:tc>
          <w:tcPr>
            <w:tcW w:w="1206"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5"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26</w:t>
            </w:r>
          </w:p>
        </w:tc>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3015"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Style w:val="16"/>
                <w:highlight w:val="none"/>
                <w:bdr w:val="none" w:color="auto" w:sz="0" w:space="0"/>
                <w:lang w:val="en-US" w:eastAsia="zh-CN" w:bidi="ar"/>
              </w:rPr>
              <w:t>财政对基本养老保险基金的补助</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27,189.00</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27,189.00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5"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02</w:t>
            </w:r>
          </w:p>
        </w:tc>
        <w:tc>
          <w:tcPr>
            <w:tcW w:w="3015"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Style w:val="16"/>
                <w:highlight w:val="none"/>
                <w:bdr w:val="none" w:color="auto" w:sz="0" w:space="0"/>
                <w:lang w:val="en-US" w:eastAsia="zh-CN" w:bidi="ar"/>
              </w:rPr>
              <w:t>财政对城乡居民基本养老保险基金的补助</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27,189.00</w:t>
            </w:r>
          </w:p>
        </w:tc>
        <w:tc>
          <w:tcPr>
            <w:tcW w:w="1206"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206"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27,189.00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5"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30</w:t>
            </w:r>
          </w:p>
        </w:tc>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3015"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Style w:val="16"/>
                <w:highlight w:val="none"/>
                <w:bdr w:val="none" w:color="auto" w:sz="0" w:space="0"/>
                <w:lang w:val="en-US" w:eastAsia="zh-CN" w:bidi="ar"/>
              </w:rPr>
              <w:t>财政代缴社会保险费支出</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398.00</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398.00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5"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01</w:t>
            </w:r>
          </w:p>
        </w:tc>
        <w:tc>
          <w:tcPr>
            <w:tcW w:w="3015"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Style w:val="16"/>
                <w:highlight w:val="none"/>
                <w:bdr w:val="none" w:color="auto" w:sz="0" w:space="0"/>
                <w:lang w:val="en-US" w:eastAsia="zh-CN" w:bidi="ar"/>
              </w:rPr>
              <w:t>财政代缴城乡居民基本养老保险费支出</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398.00</w:t>
            </w:r>
          </w:p>
        </w:tc>
        <w:tc>
          <w:tcPr>
            <w:tcW w:w="1206"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206"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398.00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210</w:t>
            </w:r>
          </w:p>
        </w:tc>
        <w:tc>
          <w:tcPr>
            <w:tcW w:w="565"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3015"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Style w:val="16"/>
                <w:highlight w:val="none"/>
                <w:bdr w:val="none" w:color="auto" w:sz="0" w:space="0"/>
                <w:lang w:val="en-US" w:eastAsia="zh-CN" w:bidi="ar"/>
              </w:rPr>
              <w:t>卫生健康支出</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25.50</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25.50</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5"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11</w:t>
            </w:r>
          </w:p>
        </w:tc>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3015"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Style w:val="16"/>
                <w:highlight w:val="none"/>
                <w:bdr w:val="none" w:color="auto" w:sz="0" w:space="0"/>
                <w:lang w:val="en-US" w:eastAsia="zh-CN" w:bidi="ar"/>
              </w:rPr>
              <w:t>行政事业单位医疗</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25.50</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25.50</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5"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01</w:t>
            </w:r>
          </w:p>
        </w:tc>
        <w:tc>
          <w:tcPr>
            <w:tcW w:w="3015"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Style w:val="16"/>
                <w:highlight w:val="none"/>
                <w:bdr w:val="none" w:color="auto" w:sz="0" w:space="0"/>
                <w:lang w:val="en-US" w:eastAsia="zh-CN" w:bidi="ar"/>
              </w:rPr>
              <w:t>行政单位医疗</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10.39</w:t>
            </w:r>
          </w:p>
        </w:tc>
        <w:tc>
          <w:tcPr>
            <w:tcW w:w="1206"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10.39</w:t>
            </w:r>
          </w:p>
        </w:tc>
        <w:tc>
          <w:tcPr>
            <w:tcW w:w="1206"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5"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03</w:t>
            </w:r>
          </w:p>
        </w:tc>
        <w:tc>
          <w:tcPr>
            <w:tcW w:w="3015"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Style w:val="16"/>
                <w:highlight w:val="none"/>
                <w:bdr w:val="none" w:color="auto" w:sz="0" w:space="0"/>
                <w:lang w:val="en-US" w:eastAsia="zh-CN" w:bidi="ar"/>
              </w:rPr>
              <w:t>公务员医疗补助</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14.15</w:t>
            </w:r>
          </w:p>
        </w:tc>
        <w:tc>
          <w:tcPr>
            <w:tcW w:w="1206"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14.15</w:t>
            </w:r>
          </w:p>
        </w:tc>
        <w:tc>
          <w:tcPr>
            <w:tcW w:w="1206"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5"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99</w:t>
            </w:r>
          </w:p>
        </w:tc>
        <w:tc>
          <w:tcPr>
            <w:tcW w:w="3015"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Style w:val="16"/>
                <w:highlight w:val="none"/>
                <w:bdr w:val="none" w:color="auto" w:sz="0" w:space="0"/>
                <w:lang w:val="en-US" w:eastAsia="zh-CN" w:bidi="ar"/>
              </w:rPr>
              <w:t>其他行政事业单位医疗支出</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0.96</w:t>
            </w:r>
          </w:p>
        </w:tc>
        <w:tc>
          <w:tcPr>
            <w:tcW w:w="1206"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0.96</w:t>
            </w:r>
          </w:p>
        </w:tc>
        <w:tc>
          <w:tcPr>
            <w:tcW w:w="1206"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221</w:t>
            </w:r>
          </w:p>
        </w:tc>
        <w:tc>
          <w:tcPr>
            <w:tcW w:w="565"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3015"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Style w:val="16"/>
                <w:highlight w:val="none"/>
                <w:bdr w:val="none" w:color="auto" w:sz="0" w:space="0"/>
                <w:lang w:val="en-US" w:eastAsia="zh-CN" w:bidi="ar"/>
              </w:rPr>
              <w:t>住房保障支出</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17.15</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17.15</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5"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02</w:t>
            </w:r>
          </w:p>
        </w:tc>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3015"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Style w:val="16"/>
                <w:highlight w:val="none"/>
                <w:bdr w:val="none" w:color="auto" w:sz="0" w:space="0"/>
                <w:lang w:val="en-US" w:eastAsia="zh-CN" w:bidi="ar"/>
              </w:rPr>
              <w:t>住房改革支出</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17.15</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17.15</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5"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01</w:t>
            </w:r>
          </w:p>
        </w:tc>
        <w:tc>
          <w:tcPr>
            <w:tcW w:w="3015"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Style w:val="16"/>
                <w:highlight w:val="none"/>
                <w:bdr w:val="none" w:color="auto" w:sz="0" w:space="0"/>
                <w:lang w:val="en-US" w:eastAsia="zh-CN" w:bidi="ar"/>
              </w:rPr>
              <w:t>住房公积金</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16.98</w:t>
            </w:r>
          </w:p>
        </w:tc>
        <w:tc>
          <w:tcPr>
            <w:tcW w:w="1206"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16.98</w:t>
            </w:r>
          </w:p>
        </w:tc>
        <w:tc>
          <w:tcPr>
            <w:tcW w:w="1206"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5"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03</w:t>
            </w:r>
          </w:p>
        </w:tc>
        <w:tc>
          <w:tcPr>
            <w:tcW w:w="3015"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Style w:val="16"/>
                <w:highlight w:val="none"/>
                <w:bdr w:val="none" w:color="auto" w:sz="0" w:space="0"/>
                <w:lang w:val="en-US" w:eastAsia="zh-CN" w:bidi="ar"/>
              </w:rPr>
              <w:t>购房补贴</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0.17</w:t>
            </w:r>
          </w:p>
        </w:tc>
        <w:tc>
          <w:tcPr>
            <w:tcW w:w="1206"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0.17</w:t>
            </w:r>
          </w:p>
        </w:tc>
        <w:tc>
          <w:tcPr>
            <w:tcW w:w="1206"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bl>
    <w:p>
      <w:pPr>
        <w:pStyle w:val="7"/>
        <w:numPr>
          <w:ilvl w:val="0"/>
          <w:numId w:val="0"/>
        </w:numPr>
        <w:rPr>
          <w:rFonts w:hint="eastAsia" w:ascii="黑体" w:hAnsi="黑体" w:eastAsia="黑体" w:cs="黑体"/>
          <w:sz w:val="30"/>
          <w:szCs w:val="30"/>
          <w:highlight w:val="none"/>
          <w:lang w:eastAsia="zh-CN"/>
        </w:rPr>
      </w:pPr>
    </w:p>
    <w:p>
      <w:pPr>
        <w:pStyle w:val="7"/>
        <w:numPr>
          <w:ilvl w:val="0"/>
          <w:numId w:val="0"/>
        </w:numPr>
        <w:ind w:leftChars="200"/>
        <w:rPr>
          <w:rFonts w:hint="eastAsia" w:ascii="黑体" w:hAnsi="黑体" w:eastAsia="黑体" w:cs="黑体"/>
          <w:sz w:val="30"/>
          <w:szCs w:val="30"/>
          <w:highlight w:val="none"/>
        </w:rPr>
      </w:pPr>
      <w:r>
        <w:rPr>
          <w:rFonts w:hint="eastAsia" w:ascii="黑体" w:hAnsi="黑体" w:eastAsia="黑体" w:cs="黑体"/>
          <w:sz w:val="30"/>
          <w:szCs w:val="30"/>
          <w:highlight w:val="none"/>
          <w:lang w:eastAsia="zh-CN"/>
        </w:rPr>
        <w:t>三、</w:t>
      </w:r>
      <w:r>
        <w:rPr>
          <w:rFonts w:hint="eastAsia" w:ascii="黑体" w:hAnsi="黑体" w:eastAsia="黑体" w:cs="黑体"/>
          <w:sz w:val="30"/>
          <w:szCs w:val="30"/>
          <w:highlight w:val="none"/>
        </w:rPr>
        <w:t>一般公共预算基本支出表</w:t>
      </w:r>
    </w:p>
    <w:tbl>
      <w:tblPr>
        <w:tblW w:w="83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566"/>
        <w:gridCol w:w="565"/>
        <w:gridCol w:w="566"/>
        <w:gridCol w:w="3015"/>
        <w:gridCol w:w="1206"/>
        <w:gridCol w:w="1206"/>
        <w:gridCol w:w="12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398" w:hRule="atLeast"/>
        </w:trPr>
        <w:tc>
          <w:tcPr>
            <w:tcW w:w="8330" w:type="dxa"/>
            <w:gridSpan w:val="7"/>
            <w:tcBorders>
              <w:top w:val="single" w:color="FFFFFF" w:sz="4" w:space="0"/>
              <w:left w:val="single" w:color="FFFFFF" w:sz="4" w:space="0"/>
              <w:bottom w:val="single" w:color="FFFFFF" w:sz="4" w:space="0"/>
              <w:right w:val="single" w:color="FFFFFF" w:sz="4" w:space="0"/>
            </w:tcBorders>
            <w:shd w:val="clear"/>
            <w:noWrap/>
            <w:tcMar>
              <w:top w:w="12" w:type="dxa"/>
              <w:left w:w="12" w:type="dxa"/>
              <w:right w:w="12" w:type="dxa"/>
            </w:tcMar>
            <w:vAlign w:val="center"/>
          </w:tcPr>
          <w:p>
            <w:pPr>
              <w:keepNext w:val="0"/>
              <w:keepLines w:val="0"/>
              <w:widowControl/>
              <w:suppressLineNumbers w:val="0"/>
              <w:jc w:val="center"/>
              <w:textAlignment w:val="center"/>
              <w:rPr>
                <w:rFonts w:ascii="黑体" w:hAnsi="宋体" w:eastAsia="黑体" w:cs="黑体"/>
                <w:b/>
                <w:i w:val="0"/>
                <w:color w:val="000000"/>
                <w:sz w:val="32"/>
                <w:szCs w:val="32"/>
                <w:highlight w:val="none"/>
                <w:u w:val="none"/>
              </w:rPr>
            </w:pPr>
            <w:r>
              <w:rPr>
                <w:rFonts w:hint="eastAsia" w:ascii="黑体" w:hAnsi="宋体" w:eastAsia="黑体" w:cs="黑体"/>
                <w:b/>
                <w:i w:val="0"/>
                <w:color w:val="000000"/>
                <w:kern w:val="0"/>
                <w:sz w:val="32"/>
                <w:szCs w:val="32"/>
                <w:highlight w:val="none"/>
                <w:u w:val="none"/>
                <w:bdr w:val="none" w:color="auto" w:sz="0" w:space="0"/>
                <w:lang w:val="en-US" w:eastAsia="zh-CN" w:bidi="ar"/>
              </w:rPr>
              <w:t>一般公共预算基本支出表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1" w:hRule="atLeast"/>
        </w:trPr>
        <w:tc>
          <w:tcPr>
            <w:tcW w:w="8330" w:type="dxa"/>
            <w:gridSpan w:val="7"/>
            <w:tcBorders>
              <w:top w:val="single" w:color="FFFFFF" w:sz="4" w:space="0"/>
              <w:left w:val="single" w:color="FFFFFF" w:sz="4" w:space="0"/>
              <w:bottom w:val="nil"/>
              <w:right w:val="single" w:color="FFFFFF" w:sz="4" w:space="0"/>
            </w:tcBorders>
            <w:shd w:val="clear"/>
            <w:tcMar>
              <w:top w:w="12" w:type="dxa"/>
              <w:left w:w="12" w:type="dxa"/>
              <w:right w:w="12" w:type="dxa"/>
            </w:tcMar>
            <w:vAlign w:val="center"/>
          </w:tcPr>
          <w:p>
            <w:pPr>
              <w:keepNext w:val="0"/>
              <w:keepLines w:val="0"/>
              <w:widowControl/>
              <w:suppressLineNumbers w:val="0"/>
              <w:jc w:val="right"/>
              <w:textAlignment w:val="center"/>
              <w:rPr>
                <w:rFonts w:ascii="宋体" w:hAnsi="宋体" w:eastAsia="宋体" w:cs="宋体"/>
                <w:i w:val="0"/>
                <w:color w:val="000000"/>
                <w:sz w:val="22"/>
                <w:szCs w:val="22"/>
                <w:highlight w:val="none"/>
                <w:u w:val="none"/>
              </w:rPr>
            </w:pPr>
            <w:r>
              <w:rPr>
                <w:rFonts w:ascii="宋体" w:hAnsi="宋体" w:eastAsia="宋体" w:cs="宋体"/>
                <w:i w:val="0"/>
                <w:color w:val="000000"/>
                <w:kern w:val="0"/>
                <w:sz w:val="22"/>
                <w:szCs w:val="22"/>
                <w:highlight w:val="none"/>
                <w:u w:val="none"/>
                <w:bdr w:val="none" w:color="auto" w:sz="0" w:space="0"/>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7" w:hRule="atLeast"/>
        </w:trPr>
        <w:tc>
          <w:tcPr>
            <w:tcW w:w="4712" w:type="dxa"/>
            <w:gridSpan w:val="4"/>
            <w:tcBorders>
              <w:top w:val="single" w:color="C2C3C4" w:sz="4" w:space="0"/>
              <w:left w:val="single" w:color="C2C3C4" w:sz="4" w:space="0"/>
              <w:bottom w:val="single" w:color="C2C3C4" w:sz="4" w:space="0"/>
              <w:right w:val="single" w:color="C2C3C4" w:sz="4" w:space="0"/>
            </w:tcBorders>
            <w:shd w:val="clear" w:color="EFF2F7" w:fill="EFF2F7"/>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支出经济分类科目</w:t>
            </w:r>
          </w:p>
        </w:tc>
        <w:tc>
          <w:tcPr>
            <w:tcW w:w="3618" w:type="dxa"/>
            <w:gridSpan w:val="3"/>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2024年基本支出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7" w:hRule="atLeast"/>
        </w:trPr>
        <w:tc>
          <w:tcPr>
            <w:tcW w:w="1697" w:type="dxa"/>
            <w:gridSpan w:val="3"/>
            <w:tcBorders>
              <w:top w:val="single" w:color="C2C3C4" w:sz="4" w:space="0"/>
              <w:left w:val="single" w:color="C2C3C4" w:sz="4" w:space="0"/>
              <w:bottom w:val="single" w:color="C2C3C4" w:sz="4" w:space="0"/>
              <w:right w:val="single" w:color="C2C3C4" w:sz="4" w:space="0"/>
            </w:tcBorders>
            <w:shd w:val="clear" w:color="EFF2F7" w:fill="EFF2F7"/>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科目编码</w:t>
            </w:r>
          </w:p>
        </w:tc>
        <w:tc>
          <w:tcPr>
            <w:tcW w:w="3015" w:type="dxa"/>
            <w:vMerge w:val="restart"/>
            <w:tcBorders>
              <w:top w:val="single" w:color="C2C3C4" w:sz="4" w:space="0"/>
              <w:left w:val="single" w:color="C2C3C4" w:sz="4" w:space="0"/>
              <w:bottom w:val="single" w:color="C2C3C4" w:sz="4" w:space="0"/>
              <w:right w:val="single" w:color="C2C3C4" w:sz="4" w:space="0"/>
            </w:tcBorders>
            <w:shd w:val="clear" w:color="EFF2F7" w:fill="EFF2F7"/>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科目名称</w:t>
            </w:r>
          </w:p>
        </w:tc>
        <w:tc>
          <w:tcPr>
            <w:tcW w:w="1206" w:type="dxa"/>
            <w:vMerge w:val="restart"/>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合计</w:t>
            </w:r>
          </w:p>
        </w:tc>
        <w:tc>
          <w:tcPr>
            <w:tcW w:w="1206" w:type="dxa"/>
            <w:vMerge w:val="restart"/>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人员经费</w:t>
            </w:r>
          </w:p>
        </w:tc>
        <w:tc>
          <w:tcPr>
            <w:tcW w:w="1206" w:type="dxa"/>
            <w:vMerge w:val="restart"/>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7" w:hRule="atLeast"/>
        </w:trPr>
        <w:tc>
          <w:tcPr>
            <w:tcW w:w="566" w:type="dxa"/>
            <w:tcBorders>
              <w:top w:val="single" w:color="C2C3C4" w:sz="4" w:space="0"/>
              <w:left w:val="single" w:color="C2C3C4" w:sz="4" w:space="0"/>
              <w:bottom w:val="single" w:color="C2C3C4" w:sz="4" w:space="0"/>
              <w:right w:val="single" w:color="C2C3C4" w:sz="4" w:space="0"/>
            </w:tcBorders>
            <w:shd w:val="clear" w:color="EFF2F7" w:fill="EFF2F7"/>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类</w:t>
            </w:r>
          </w:p>
        </w:tc>
        <w:tc>
          <w:tcPr>
            <w:tcW w:w="565" w:type="dxa"/>
            <w:tcBorders>
              <w:top w:val="single" w:color="C2C3C4" w:sz="4" w:space="0"/>
              <w:left w:val="single" w:color="C2C3C4" w:sz="4" w:space="0"/>
              <w:bottom w:val="single" w:color="C2C3C4" w:sz="4" w:space="0"/>
              <w:right w:val="single" w:color="C2C3C4" w:sz="4" w:space="0"/>
            </w:tcBorders>
            <w:shd w:val="clear" w:color="EFF2F7" w:fill="EFF2F7"/>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款</w:t>
            </w:r>
          </w:p>
        </w:tc>
        <w:tc>
          <w:tcPr>
            <w:tcW w:w="566" w:type="dxa"/>
            <w:tcBorders>
              <w:top w:val="single" w:color="C2C3C4" w:sz="4" w:space="0"/>
              <w:left w:val="single" w:color="C2C3C4" w:sz="4" w:space="0"/>
              <w:bottom w:val="single" w:color="C2C3C4" w:sz="4" w:space="0"/>
              <w:right w:val="single" w:color="C2C3C4" w:sz="4" w:space="0"/>
            </w:tcBorders>
            <w:shd w:val="clear" w:color="EFF2F7" w:fill="EFF2F7"/>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项</w:t>
            </w:r>
          </w:p>
        </w:tc>
        <w:tc>
          <w:tcPr>
            <w:tcW w:w="3015" w:type="dxa"/>
            <w:vMerge w:val="continue"/>
            <w:tcBorders>
              <w:top w:val="single" w:color="C2C3C4" w:sz="4" w:space="0"/>
              <w:left w:val="single" w:color="C2C3C4" w:sz="4" w:space="0"/>
              <w:bottom w:val="single" w:color="C2C3C4" w:sz="4" w:space="0"/>
              <w:right w:val="single" w:color="C2C3C4" w:sz="4" w:space="0"/>
            </w:tcBorders>
            <w:shd w:val="clear" w:color="EFF2F7" w:fill="EFF2F7"/>
            <w:noWrap/>
            <w:tcMar>
              <w:top w:w="12" w:type="dxa"/>
              <w:left w:w="12" w:type="dxa"/>
              <w:right w:w="12" w:type="dxa"/>
            </w:tcMar>
            <w:vAlign w:val="center"/>
          </w:tcPr>
          <w:p>
            <w:pPr>
              <w:jc w:val="center"/>
              <w:rPr>
                <w:rFonts w:hint="eastAsia" w:ascii="宋体" w:hAnsi="宋体" w:eastAsia="宋体" w:cs="宋体"/>
                <w:b/>
                <w:i w:val="0"/>
                <w:color w:val="000000"/>
                <w:sz w:val="22"/>
                <w:szCs w:val="22"/>
                <w:highlight w:val="none"/>
                <w:u w:val="none"/>
              </w:rPr>
            </w:pPr>
          </w:p>
        </w:tc>
        <w:tc>
          <w:tcPr>
            <w:tcW w:w="1206" w:type="dxa"/>
            <w:vMerge w:val="continue"/>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jc w:val="center"/>
              <w:rPr>
                <w:rFonts w:hint="eastAsia" w:ascii="宋体" w:hAnsi="宋体" w:eastAsia="宋体" w:cs="宋体"/>
                <w:b/>
                <w:i w:val="0"/>
                <w:color w:val="000000"/>
                <w:sz w:val="22"/>
                <w:szCs w:val="22"/>
                <w:highlight w:val="none"/>
                <w:u w:val="none"/>
              </w:rPr>
            </w:pPr>
          </w:p>
        </w:tc>
        <w:tc>
          <w:tcPr>
            <w:tcW w:w="1206" w:type="dxa"/>
            <w:vMerge w:val="continue"/>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jc w:val="center"/>
              <w:rPr>
                <w:rFonts w:hint="eastAsia" w:ascii="宋体" w:hAnsi="宋体" w:eastAsia="宋体" w:cs="宋体"/>
                <w:b/>
                <w:i w:val="0"/>
                <w:color w:val="000000"/>
                <w:sz w:val="22"/>
                <w:szCs w:val="22"/>
                <w:highlight w:val="none"/>
                <w:u w:val="none"/>
              </w:rPr>
            </w:pPr>
          </w:p>
        </w:tc>
        <w:tc>
          <w:tcPr>
            <w:tcW w:w="1206" w:type="dxa"/>
            <w:vMerge w:val="continue"/>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jc w:val="center"/>
              <w:rPr>
                <w:rFonts w:hint="eastAsia" w:ascii="宋体" w:hAnsi="宋体" w:eastAsia="宋体" w:cs="宋体"/>
                <w:b/>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4712" w:type="dxa"/>
            <w:gridSpan w:val="4"/>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合    计</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ascii="宋体" w:hAnsi="宋体" w:eastAsia="宋体" w:cs="宋体"/>
                <w:b/>
                <w:i w:val="0"/>
                <w:color w:val="000000"/>
                <w:sz w:val="22"/>
                <w:szCs w:val="22"/>
                <w:highlight w:val="none"/>
                <w:u w:val="none"/>
              </w:rPr>
            </w:pPr>
            <w:r>
              <w:rPr>
                <w:rFonts w:ascii="宋体" w:hAnsi="宋体" w:eastAsia="宋体" w:cs="宋体"/>
                <w:b/>
                <w:i w:val="0"/>
                <w:color w:val="000000"/>
                <w:kern w:val="0"/>
                <w:sz w:val="22"/>
                <w:szCs w:val="22"/>
                <w:highlight w:val="none"/>
                <w:u w:val="none"/>
                <w:bdr w:val="none" w:color="auto" w:sz="0" w:space="0"/>
                <w:lang w:val="en-US" w:eastAsia="zh-CN" w:bidi="ar"/>
              </w:rPr>
              <w:t>250.59</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ascii="宋体" w:hAnsi="宋体" w:eastAsia="宋体" w:cs="宋体"/>
                <w:b/>
                <w:i w:val="0"/>
                <w:color w:val="000000"/>
                <w:sz w:val="22"/>
                <w:szCs w:val="22"/>
                <w:highlight w:val="none"/>
                <w:u w:val="none"/>
              </w:rPr>
            </w:pPr>
            <w:r>
              <w:rPr>
                <w:rFonts w:ascii="宋体" w:hAnsi="宋体" w:eastAsia="宋体" w:cs="宋体"/>
                <w:b/>
                <w:i w:val="0"/>
                <w:color w:val="000000"/>
                <w:kern w:val="0"/>
                <w:sz w:val="22"/>
                <w:szCs w:val="22"/>
                <w:highlight w:val="none"/>
                <w:u w:val="none"/>
                <w:bdr w:val="none" w:color="auto" w:sz="0" w:space="0"/>
                <w:lang w:val="en-US" w:eastAsia="zh-CN" w:bidi="ar"/>
              </w:rPr>
              <w:t>227.34</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ascii="宋体" w:hAnsi="宋体" w:eastAsia="宋体" w:cs="宋体"/>
                <w:b/>
                <w:i w:val="0"/>
                <w:color w:val="000000"/>
                <w:sz w:val="22"/>
                <w:szCs w:val="22"/>
                <w:highlight w:val="none"/>
                <w:u w:val="none"/>
              </w:rPr>
            </w:pPr>
            <w:r>
              <w:rPr>
                <w:rFonts w:ascii="宋体" w:hAnsi="宋体" w:eastAsia="宋体" w:cs="宋体"/>
                <w:b/>
                <w:i w:val="0"/>
                <w:color w:val="000000"/>
                <w:kern w:val="0"/>
                <w:sz w:val="22"/>
                <w:szCs w:val="22"/>
                <w:highlight w:val="none"/>
                <w:u w:val="none"/>
                <w:bdr w:val="none" w:color="auto" w:sz="0" w:space="0"/>
                <w:lang w:val="en-US" w:eastAsia="zh-CN" w:bidi="ar"/>
              </w:rPr>
              <w:t>23.25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301</w:t>
            </w:r>
          </w:p>
        </w:tc>
        <w:tc>
          <w:tcPr>
            <w:tcW w:w="565"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3015"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工资福利支出</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211.80</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210.00</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5"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01</w:t>
            </w:r>
          </w:p>
        </w:tc>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3015"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基本工资</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42.20</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42.20</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5"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02</w:t>
            </w:r>
          </w:p>
        </w:tc>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3015"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津贴补贴</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60.60</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60.60</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5"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03</w:t>
            </w:r>
          </w:p>
        </w:tc>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3015"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奖金</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33.76</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33.76</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5"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08</w:t>
            </w:r>
          </w:p>
        </w:tc>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3015"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机关事业单位基本养老保险缴费</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18.62</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18.62</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5"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09</w:t>
            </w:r>
          </w:p>
        </w:tc>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3015"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职业年金缴费</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9.31</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9.31</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5"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w:t>
            </w:r>
          </w:p>
        </w:tc>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3015"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职工基本医疗保险缴费</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10.39</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10.39</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5"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11</w:t>
            </w:r>
          </w:p>
        </w:tc>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3015"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公务员医疗补助缴费</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14.15</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14.15</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5"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12</w:t>
            </w:r>
          </w:p>
        </w:tc>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3015"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其他社会保障缴费</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3.21</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1.71</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5"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13</w:t>
            </w:r>
          </w:p>
        </w:tc>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3015"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住房公积金</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16.98</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16.98</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5"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14</w:t>
            </w:r>
          </w:p>
        </w:tc>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3015"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医疗费</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0.96</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0.96</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5"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99</w:t>
            </w:r>
          </w:p>
        </w:tc>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3015"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其他工资福利支出</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1.63</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1.33</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302</w:t>
            </w:r>
          </w:p>
        </w:tc>
        <w:tc>
          <w:tcPr>
            <w:tcW w:w="565"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3015"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商品和服务支出</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30.31</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9.36</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20.95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5"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01</w:t>
            </w:r>
          </w:p>
        </w:tc>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3015"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办公费</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3.71</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3.71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5"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04</w:t>
            </w:r>
          </w:p>
        </w:tc>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3015"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手续费</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0.10</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5"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07</w:t>
            </w:r>
          </w:p>
        </w:tc>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3015"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邮电费</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3.02</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1.52</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5"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11</w:t>
            </w:r>
          </w:p>
        </w:tc>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3015"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差旅费</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2.97</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5"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13</w:t>
            </w:r>
          </w:p>
        </w:tc>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3015"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维修（护）费</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0.63</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5"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16</w:t>
            </w:r>
          </w:p>
        </w:tc>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3015"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培训费</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1.53</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5"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26</w:t>
            </w:r>
          </w:p>
        </w:tc>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3015"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劳务费</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5"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27</w:t>
            </w:r>
          </w:p>
        </w:tc>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3015"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委托业务费</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0.50</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5"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28</w:t>
            </w:r>
          </w:p>
        </w:tc>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3015"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工会经费</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2.23</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5"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31</w:t>
            </w:r>
          </w:p>
        </w:tc>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3015"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公务用车运行维护费</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3.33</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3.33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5"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39</w:t>
            </w:r>
          </w:p>
        </w:tc>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3015"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其他交通费用</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7.84</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7.84</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5"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99</w:t>
            </w:r>
          </w:p>
        </w:tc>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3015"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其他商品和服务支出</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4.45</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4.45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303</w:t>
            </w:r>
          </w:p>
        </w:tc>
        <w:tc>
          <w:tcPr>
            <w:tcW w:w="565"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3015"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对个人和家庭的补助</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8.48</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7.98</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5"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06</w:t>
            </w:r>
          </w:p>
        </w:tc>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3015"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救济费</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0.50</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5"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07</w:t>
            </w:r>
          </w:p>
        </w:tc>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3015"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医疗费补助</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7.80</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7.80</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5"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09</w:t>
            </w:r>
          </w:p>
        </w:tc>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3015"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奖励金</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0.18</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0.18</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5"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11</w:t>
            </w:r>
          </w:p>
        </w:tc>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3015"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代缴社会保险费</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310</w:t>
            </w:r>
          </w:p>
        </w:tc>
        <w:tc>
          <w:tcPr>
            <w:tcW w:w="565"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3015"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资本性支出</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5"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02</w:t>
            </w:r>
          </w:p>
        </w:tc>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3015"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办公设备购置</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313</w:t>
            </w:r>
          </w:p>
        </w:tc>
        <w:tc>
          <w:tcPr>
            <w:tcW w:w="565"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3015"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对社会保障基金补助</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5"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02</w:t>
            </w:r>
          </w:p>
        </w:tc>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3015"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对社会保险基金补助</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399</w:t>
            </w:r>
          </w:p>
        </w:tc>
        <w:tc>
          <w:tcPr>
            <w:tcW w:w="565"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3015"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其他支出</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565"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99</w:t>
            </w:r>
          </w:p>
        </w:tc>
        <w:tc>
          <w:tcPr>
            <w:tcW w:w="566"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3015"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其他支出</w:t>
            </w: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20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bl>
    <w:p>
      <w:pPr>
        <w:pStyle w:val="7"/>
        <w:numPr>
          <w:ilvl w:val="0"/>
          <w:numId w:val="0"/>
        </w:numPr>
        <w:ind w:leftChars="0"/>
        <w:rPr>
          <w:rFonts w:hint="eastAsia" w:ascii="仿宋" w:hAnsi="仿宋" w:eastAsia="仿宋" w:cs="仿宋"/>
          <w:sz w:val="30"/>
          <w:szCs w:val="30"/>
          <w:highlight w:val="none"/>
        </w:rPr>
      </w:pPr>
    </w:p>
    <w:p>
      <w:pPr>
        <w:pStyle w:val="7"/>
        <w:numPr>
          <w:ilvl w:val="0"/>
          <w:numId w:val="0"/>
        </w:numPr>
        <w:ind w:leftChars="200"/>
        <w:rPr>
          <w:rFonts w:hint="eastAsia" w:ascii="黑体" w:hAnsi="黑体" w:eastAsia="黑体" w:cs="黑体"/>
          <w:sz w:val="30"/>
          <w:szCs w:val="30"/>
          <w:highlight w:val="none"/>
        </w:rPr>
      </w:pPr>
      <w:r>
        <w:rPr>
          <w:rFonts w:hint="eastAsia" w:ascii="黑体" w:hAnsi="黑体" w:eastAsia="黑体" w:cs="黑体"/>
          <w:sz w:val="30"/>
          <w:szCs w:val="30"/>
          <w:highlight w:val="none"/>
          <w:lang w:eastAsia="zh-CN"/>
        </w:rPr>
        <w:t>四、</w:t>
      </w:r>
      <w:r>
        <w:rPr>
          <w:rFonts w:hint="eastAsia" w:ascii="黑体" w:hAnsi="黑体" w:eastAsia="黑体" w:cs="黑体"/>
          <w:sz w:val="30"/>
          <w:szCs w:val="30"/>
          <w:highlight w:val="none"/>
        </w:rPr>
        <w:t>一般公共预算“三公”经费支出表</w:t>
      </w:r>
    </w:p>
    <w:tbl>
      <w:tblPr>
        <w:tblW w:w="838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85"/>
        <w:gridCol w:w="684"/>
        <w:gridCol w:w="687"/>
        <w:gridCol w:w="684"/>
        <w:gridCol w:w="684"/>
        <w:gridCol w:w="685"/>
        <w:gridCol w:w="683"/>
        <w:gridCol w:w="684"/>
        <w:gridCol w:w="687"/>
        <w:gridCol w:w="684"/>
        <w:gridCol w:w="684"/>
        <w:gridCol w:w="684"/>
        <w:gridCol w:w="685"/>
        <w:gridCol w:w="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398" w:hRule="atLeast"/>
        </w:trPr>
        <w:tc>
          <w:tcPr>
            <w:tcW w:w="85" w:type="dxa"/>
            <w:tcBorders>
              <w:top w:val="single" w:color="FFFFFF" w:sz="4" w:space="0"/>
              <w:left w:val="nil"/>
              <w:bottom w:val="single" w:color="FFFFFF" w:sz="4" w:space="0"/>
              <w:right w:val="nil"/>
            </w:tcBorders>
            <w:shd w:val="clear"/>
            <w:tcMar>
              <w:top w:w="12" w:type="dxa"/>
              <w:left w:w="12" w:type="dxa"/>
              <w:right w:w="12" w:type="dxa"/>
            </w:tcMar>
            <w:vAlign w:val="center"/>
          </w:tcPr>
          <w:p>
            <w:pPr>
              <w:rPr>
                <w:rFonts w:hint="eastAsia" w:ascii="宋体" w:hAnsi="宋体" w:eastAsia="宋体" w:cs="宋体"/>
                <w:i w:val="0"/>
                <w:color w:val="000000"/>
                <w:sz w:val="18"/>
                <w:szCs w:val="18"/>
                <w:highlight w:val="none"/>
                <w:u w:val="none"/>
              </w:rPr>
            </w:pPr>
          </w:p>
        </w:tc>
        <w:tc>
          <w:tcPr>
            <w:tcW w:w="8215" w:type="dxa"/>
            <w:gridSpan w:val="12"/>
            <w:tcBorders>
              <w:top w:val="single" w:color="FFFFFF" w:sz="4" w:space="0"/>
              <w:left w:val="single" w:color="FFFFFF" w:sz="4" w:space="0"/>
              <w:bottom w:val="single" w:color="FFFFFF" w:sz="4" w:space="0"/>
              <w:right w:val="single" w:color="FFFFFF" w:sz="4" w:space="0"/>
            </w:tcBorders>
            <w:shd w:val="clear"/>
            <w:noWrap/>
            <w:tcMar>
              <w:top w:w="12" w:type="dxa"/>
              <w:left w:w="12" w:type="dxa"/>
              <w:right w:w="12" w:type="dxa"/>
            </w:tcMar>
            <w:vAlign w:val="center"/>
          </w:tcPr>
          <w:p>
            <w:pPr>
              <w:keepNext w:val="0"/>
              <w:keepLines w:val="0"/>
              <w:widowControl/>
              <w:suppressLineNumbers w:val="0"/>
              <w:jc w:val="center"/>
              <w:textAlignment w:val="center"/>
              <w:rPr>
                <w:rFonts w:ascii="黑体" w:hAnsi="宋体" w:eastAsia="黑体" w:cs="黑体"/>
                <w:b/>
                <w:i w:val="0"/>
                <w:color w:val="000000"/>
                <w:sz w:val="32"/>
                <w:szCs w:val="32"/>
                <w:highlight w:val="none"/>
                <w:u w:val="none"/>
              </w:rPr>
            </w:pPr>
            <w:r>
              <w:rPr>
                <w:rFonts w:hint="eastAsia" w:ascii="黑体" w:hAnsi="宋体" w:eastAsia="黑体" w:cs="黑体"/>
                <w:b/>
                <w:i w:val="0"/>
                <w:color w:val="000000"/>
                <w:kern w:val="0"/>
                <w:sz w:val="32"/>
                <w:szCs w:val="32"/>
                <w:highlight w:val="none"/>
                <w:u w:val="none"/>
                <w:bdr w:val="none" w:color="auto" w:sz="0" w:space="0"/>
                <w:lang w:val="en-US" w:eastAsia="zh-CN" w:bidi="ar"/>
              </w:rPr>
              <w:t>一般公共预算“三公”经费支出表</w:t>
            </w:r>
          </w:p>
        </w:tc>
        <w:tc>
          <w:tcPr>
            <w:tcW w:w="85" w:type="dxa"/>
            <w:tcBorders>
              <w:top w:val="single" w:color="FFFFFF" w:sz="4" w:space="0"/>
              <w:left w:val="nil"/>
              <w:bottom w:val="single" w:color="FFFFFF" w:sz="4" w:space="0"/>
              <w:right w:val="nil"/>
            </w:tcBorders>
            <w:shd w:val="clear"/>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highlight w:val="none"/>
                <w:u w:val="none"/>
              </w:rPr>
            </w:pPr>
            <w:r>
              <w:rPr>
                <w:rFonts w:ascii="宋体" w:hAnsi="宋体" w:eastAsia="宋体" w:cs="宋体"/>
                <w:i w:val="0"/>
                <w:color w:val="000000"/>
                <w:kern w:val="0"/>
                <w:sz w:val="18"/>
                <w:szCs w:val="18"/>
                <w:highlight w:val="none"/>
                <w:u w:val="none"/>
                <w:bdr w:val="none" w:color="auto" w:sz="0" w:space="0"/>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1" w:hRule="atLeast"/>
        </w:trPr>
        <w:tc>
          <w:tcPr>
            <w:tcW w:w="85" w:type="dxa"/>
            <w:tcBorders>
              <w:top w:val="single" w:color="FFFFFF" w:sz="4" w:space="0"/>
              <w:left w:val="nil"/>
              <w:bottom w:val="single" w:color="FFFFFF" w:sz="4" w:space="0"/>
              <w:right w:val="nil"/>
            </w:tcBorders>
            <w:shd w:val="clear"/>
            <w:tcMar>
              <w:top w:w="12" w:type="dxa"/>
              <w:left w:w="12" w:type="dxa"/>
              <w:right w:w="12" w:type="dxa"/>
            </w:tcMar>
            <w:vAlign w:val="center"/>
          </w:tcPr>
          <w:p>
            <w:pPr>
              <w:rPr>
                <w:rFonts w:hint="eastAsia" w:ascii="宋体" w:hAnsi="宋体" w:eastAsia="宋体" w:cs="宋体"/>
                <w:i w:val="0"/>
                <w:color w:val="000000"/>
                <w:sz w:val="18"/>
                <w:szCs w:val="18"/>
                <w:highlight w:val="none"/>
                <w:u w:val="none"/>
              </w:rPr>
            </w:pPr>
          </w:p>
        </w:tc>
        <w:tc>
          <w:tcPr>
            <w:tcW w:w="684" w:type="dxa"/>
            <w:tcBorders>
              <w:top w:val="single" w:color="FFFFFF" w:sz="4" w:space="0"/>
              <w:left w:val="single" w:color="FFFFFF" w:sz="4" w:space="0"/>
              <w:bottom w:val="nil"/>
              <w:right w:val="single" w:color="FFFFFF" w:sz="4" w:space="0"/>
            </w:tcBorders>
            <w:shd w:val="clear"/>
            <w:tcMar>
              <w:top w:w="12" w:type="dxa"/>
              <w:left w:w="12" w:type="dxa"/>
              <w:right w:w="12" w:type="dxa"/>
            </w:tcMar>
            <w:vAlign w:val="center"/>
          </w:tcPr>
          <w:p>
            <w:pPr>
              <w:rPr>
                <w:rFonts w:hint="eastAsia" w:ascii="宋体" w:hAnsi="宋体" w:eastAsia="宋体" w:cs="宋体"/>
                <w:i w:val="0"/>
                <w:color w:val="000000"/>
                <w:sz w:val="22"/>
                <w:szCs w:val="22"/>
                <w:highlight w:val="none"/>
                <w:u w:val="none"/>
              </w:rPr>
            </w:pPr>
          </w:p>
        </w:tc>
        <w:tc>
          <w:tcPr>
            <w:tcW w:w="7531" w:type="dxa"/>
            <w:gridSpan w:val="11"/>
            <w:tcBorders>
              <w:top w:val="single" w:color="FFFFFF" w:sz="4" w:space="0"/>
              <w:left w:val="single" w:color="FFFFFF" w:sz="4" w:space="0"/>
              <w:bottom w:val="nil"/>
              <w:right w:val="single" w:color="FFFFFF" w:sz="4" w:space="0"/>
            </w:tcBorders>
            <w:shd w:val="clear"/>
            <w:tcMar>
              <w:top w:w="12" w:type="dxa"/>
              <w:left w:w="12" w:type="dxa"/>
              <w:right w:w="12" w:type="dxa"/>
            </w:tcMar>
            <w:vAlign w:val="center"/>
          </w:tcPr>
          <w:p>
            <w:pPr>
              <w:keepNext w:val="0"/>
              <w:keepLines w:val="0"/>
              <w:widowControl/>
              <w:suppressLineNumbers w:val="0"/>
              <w:jc w:val="right"/>
              <w:textAlignment w:val="center"/>
              <w:rPr>
                <w:rFonts w:ascii="宋体" w:hAnsi="宋体" w:eastAsia="宋体" w:cs="宋体"/>
                <w:i w:val="0"/>
                <w:color w:val="000000"/>
                <w:sz w:val="22"/>
                <w:szCs w:val="22"/>
                <w:highlight w:val="none"/>
                <w:u w:val="none"/>
              </w:rPr>
            </w:pPr>
            <w:r>
              <w:rPr>
                <w:rFonts w:ascii="宋体" w:hAnsi="宋体" w:eastAsia="宋体" w:cs="宋体"/>
                <w:i w:val="0"/>
                <w:color w:val="000000"/>
                <w:kern w:val="0"/>
                <w:sz w:val="22"/>
                <w:szCs w:val="22"/>
                <w:highlight w:val="none"/>
                <w:u w:val="none"/>
                <w:bdr w:val="none" w:color="auto" w:sz="0" w:space="0"/>
                <w:lang w:val="en-US" w:eastAsia="zh-CN" w:bidi="ar"/>
              </w:rPr>
              <w:t>金额单位：万元</w:t>
            </w:r>
          </w:p>
        </w:tc>
        <w:tc>
          <w:tcPr>
            <w:tcW w:w="85" w:type="dxa"/>
            <w:tcBorders>
              <w:top w:val="single" w:color="FFFFFF" w:sz="4" w:space="0"/>
              <w:left w:val="nil"/>
              <w:bottom w:val="single" w:color="FFFFFF" w:sz="4" w:space="0"/>
              <w:right w:val="nil"/>
            </w:tcBorders>
            <w:shd w:val="clear"/>
            <w:tcMar>
              <w:top w:w="12" w:type="dxa"/>
              <w:left w:w="12" w:type="dxa"/>
              <w:right w:w="12" w:type="dxa"/>
            </w:tcMar>
            <w:vAlign w:val="center"/>
          </w:tcPr>
          <w:p>
            <w:pPr>
              <w:rPr>
                <w:rFonts w:hint="eastAsia" w:ascii="宋体" w:hAnsi="宋体" w:eastAsia="宋体" w:cs="宋体"/>
                <w:i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7" w:hRule="atLeast"/>
        </w:trPr>
        <w:tc>
          <w:tcPr>
            <w:tcW w:w="85" w:type="dxa"/>
            <w:tcBorders>
              <w:top w:val="single" w:color="FFFFFF" w:sz="4" w:space="0"/>
              <w:left w:val="nil"/>
              <w:bottom w:val="single" w:color="FFFFFF" w:sz="4" w:space="0"/>
              <w:right w:val="nil"/>
            </w:tcBorders>
            <w:shd w:val="clear"/>
            <w:tcMar>
              <w:top w:w="12" w:type="dxa"/>
              <w:left w:w="12" w:type="dxa"/>
              <w:right w:w="12" w:type="dxa"/>
            </w:tcMar>
            <w:vAlign w:val="center"/>
          </w:tcPr>
          <w:p>
            <w:pPr>
              <w:rPr>
                <w:rFonts w:hint="eastAsia" w:ascii="黑体" w:hAnsi="黑体" w:eastAsia="黑体" w:cs="黑体"/>
                <w:i w:val="0"/>
                <w:color w:val="000000"/>
                <w:sz w:val="18"/>
                <w:szCs w:val="18"/>
                <w:highlight w:val="none"/>
                <w:u w:val="none"/>
              </w:rPr>
            </w:pPr>
          </w:p>
        </w:tc>
        <w:tc>
          <w:tcPr>
            <w:tcW w:w="4107" w:type="dxa"/>
            <w:gridSpan w:val="6"/>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2023年预算数</w:t>
            </w:r>
          </w:p>
        </w:tc>
        <w:tc>
          <w:tcPr>
            <w:tcW w:w="4108" w:type="dxa"/>
            <w:gridSpan w:val="6"/>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2024年预算数</w:t>
            </w:r>
          </w:p>
        </w:tc>
        <w:tc>
          <w:tcPr>
            <w:tcW w:w="85" w:type="dxa"/>
            <w:tcBorders>
              <w:top w:val="single" w:color="FFFFFF" w:sz="4" w:space="0"/>
              <w:left w:val="nil"/>
              <w:bottom w:val="single" w:color="FFFFFF" w:sz="4" w:space="0"/>
              <w:right w:val="nil"/>
            </w:tcBorders>
            <w:shd w:val="clear"/>
            <w:tcMar>
              <w:top w:w="12" w:type="dxa"/>
              <w:left w:w="12" w:type="dxa"/>
              <w:right w:w="12" w:type="dxa"/>
            </w:tcMar>
            <w:vAlign w:val="center"/>
          </w:tcPr>
          <w:p>
            <w:pPr>
              <w:rPr>
                <w:rFonts w:hint="eastAsia" w:ascii="黑体" w:hAnsi="黑体" w:eastAsia="黑体" w:cs="黑体"/>
                <w:i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7" w:hRule="atLeast"/>
        </w:trPr>
        <w:tc>
          <w:tcPr>
            <w:tcW w:w="85" w:type="dxa"/>
            <w:tcBorders>
              <w:top w:val="single" w:color="FFFFFF" w:sz="4" w:space="0"/>
              <w:left w:val="nil"/>
              <w:bottom w:val="single" w:color="FFFFFF" w:sz="4" w:space="0"/>
              <w:right w:val="nil"/>
            </w:tcBorders>
            <w:shd w:val="clear"/>
            <w:tcMar>
              <w:top w:w="12" w:type="dxa"/>
              <w:left w:w="12" w:type="dxa"/>
              <w:right w:w="12" w:type="dxa"/>
            </w:tcMar>
            <w:vAlign w:val="center"/>
          </w:tcPr>
          <w:p>
            <w:pPr>
              <w:rPr>
                <w:rFonts w:hint="eastAsia" w:ascii="宋体" w:hAnsi="宋体" w:eastAsia="宋体" w:cs="宋体"/>
                <w:i w:val="0"/>
                <w:color w:val="000000"/>
                <w:sz w:val="18"/>
                <w:szCs w:val="18"/>
                <w:highlight w:val="none"/>
                <w:u w:val="none"/>
              </w:rPr>
            </w:pPr>
          </w:p>
        </w:tc>
        <w:tc>
          <w:tcPr>
            <w:tcW w:w="684" w:type="dxa"/>
            <w:vMerge w:val="restart"/>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合计</w:t>
            </w:r>
          </w:p>
        </w:tc>
        <w:tc>
          <w:tcPr>
            <w:tcW w:w="687" w:type="dxa"/>
            <w:vMerge w:val="restart"/>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因公出国</w:t>
            </w:r>
            <w:r>
              <w:rPr>
                <w:rFonts w:hint="eastAsia" w:ascii="宋体" w:hAnsi="宋体" w:eastAsia="宋体" w:cs="宋体"/>
                <w:b/>
                <w:i w:val="0"/>
                <w:color w:val="000000"/>
                <w:kern w:val="0"/>
                <w:sz w:val="22"/>
                <w:szCs w:val="22"/>
                <w:highlight w:val="none"/>
                <w:u w:val="none"/>
                <w:bdr w:val="none" w:color="auto" w:sz="0" w:space="0"/>
                <w:lang w:val="en-US" w:eastAsia="zh-CN" w:bidi="ar"/>
              </w:rPr>
              <w:br w:type="textWrapping"/>
            </w:r>
            <w:r>
              <w:rPr>
                <w:rFonts w:hint="eastAsia" w:ascii="宋体" w:hAnsi="宋体" w:eastAsia="宋体" w:cs="宋体"/>
                <w:b/>
                <w:i w:val="0"/>
                <w:color w:val="000000"/>
                <w:kern w:val="0"/>
                <w:sz w:val="22"/>
                <w:szCs w:val="22"/>
                <w:highlight w:val="none"/>
                <w:u w:val="none"/>
                <w:bdr w:val="none" w:color="auto" w:sz="0" w:space="0"/>
                <w:lang w:val="en-US" w:eastAsia="zh-CN" w:bidi="ar"/>
              </w:rPr>
              <w:t>（境）费用</w:t>
            </w:r>
          </w:p>
        </w:tc>
        <w:tc>
          <w:tcPr>
            <w:tcW w:w="2053" w:type="dxa"/>
            <w:gridSpan w:val="3"/>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公务用车购置及运行费</w:t>
            </w:r>
          </w:p>
        </w:tc>
        <w:tc>
          <w:tcPr>
            <w:tcW w:w="683" w:type="dxa"/>
            <w:vMerge w:val="restart"/>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公务接待费</w:t>
            </w:r>
          </w:p>
        </w:tc>
        <w:tc>
          <w:tcPr>
            <w:tcW w:w="684" w:type="dxa"/>
            <w:vMerge w:val="restart"/>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合计</w:t>
            </w:r>
          </w:p>
        </w:tc>
        <w:tc>
          <w:tcPr>
            <w:tcW w:w="687" w:type="dxa"/>
            <w:vMerge w:val="restart"/>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因公出国</w:t>
            </w:r>
            <w:r>
              <w:rPr>
                <w:rFonts w:hint="eastAsia" w:ascii="宋体" w:hAnsi="宋体" w:eastAsia="宋体" w:cs="宋体"/>
                <w:b/>
                <w:i w:val="0"/>
                <w:color w:val="000000"/>
                <w:kern w:val="0"/>
                <w:sz w:val="22"/>
                <w:szCs w:val="22"/>
                <w:highlight w:val="none"/>
                <w:u w:val="none"/>
                <w:bdr w:val="none" w:color="auto" w:sz="0" w:space="0"/>
                <w:lang w:val="en-US" w:eastAsia="zh-CN" w:bidi="ar"/>
              </w:rPr>
              <w:br w:type="textWrapping"/>
            </w:r>
            <w:r>
              <w:rPr>
                <w:rFonts w:hint="eastAsia" w:ascii="宋体" w:hAnsi="宋体" w:eastAsia="宋体" w:cs="宋体"/>
                <w:b/>
                <w:i w:val="0"/>
                <w:color w:val="000000"/>
                <w:kern w:val="0"/>
                <w:sz w:val="22"/>
                <w:szCs w:val="22"/>
                <w:highlight w:val="none"/>
                <w:u w:val="none"/>
                <w:bdr w:val="none" w:color="auto" w:sz="0" w:space="0"/>
                <w:lang w:val="en-US" w:eastAsia="zh-CN" w:bidi="ar"/>
              </w:rPr>
              <w:t>（境）费用</w:t>
            </w:r>
          </w:p>
        </w:tc>
        <w:tc>
          <w:tcPr>
            <w:tcW w:w="2052" w:type="dxa"/>
            <w:gridSpan w:val="3"/>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公务用车购置及运行费</w:t>
            </w:r>
          </w:p>
        </w:tc>
        <w:tc>
          <w:tcPr>
            <w:tcW w:w="685" w:type="dxa"/>
            <w:vMerge w:val="restart"/>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公务接待费</w:t>
            </w:r>
          </w:p>
        </w:tc>
        <w:tc>
          <w:tcPr>
            <w:tcW w:w="85" w:type="dxa"/>
            <w:tcBorders>
              <w:top w:val="single" w:color="FFFFFF" w:sz="4" w:space="0"/>
              <w:left w:val="nil"/>
              <w:bottom w:val="single" w:color="FFFFFF" w:sz="4" w:space="0"/>
              <w:right w:val="nil"/>
            </w:tcBorders>
            <w:shd w:val="clear"/>
            <w:tcMar>
              <w:top w:w="12" w:type="dxa"/>
              <w:left w:w="12" w:type="dxa"/>
              <w:right w:w="12" w:type="dxa"/>
            </w:tcMar>
            <w:vAlign w:val="center"/>
          </w:tcPr>
          <w:p>
            <w:pPr>
              <w:rPr>
                <w:rFonts w:hint="eastAsia" w:ascii="宋体" w:hAnsi="宋体" w:eastAsia="宋体" w:cs="宋体"/>
                <w:i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83" w:hRule="atLeast"/>
        </w:trPr>
        <w:tc>
          <w:tcPr>
            <w:tcW w:w="85" w:type="dxa"/>
            <w:tcBorders>
              <w:top w:val="single" w:color="FFFFFF" w:sz="4" w:space="0"/>
              <w:left w:val="nil"/>
              <w:bottom w:val="single" w:color="FFFFFF" w:sz="4" w:space="0"/>
              <w:right w:val="nil"/>
            </w:tcBorders>
            <w:shd w:val="clear"/>
            <w:tcMar>
              <w:top w:w="12" w:type="dxa"/>
              <w:left w:w="12" w:type="dxa"/>
              <w:right w:w="12" w:type="dxa"/>
            </w:tcMar>
            <w:vAlign w:val="center"/>
          </w:tcPr>
          <w:p>
            <w:pPr>
              <w:rPr>
                <w:rFonts w:hint="eastAsia" w:ascii="宋体" w:hAnsi="宋体" w:eastAsia="宋体" w:cs="宋体"/>
                <w:i w:val="0"/>
                <w:color w:val="000000"/>
                <w:sz w:val="18"/>
                <w:szCs w:val="18"/>
                <w:highlight w:val="none"/>
                <w:u w:val="none"/>
              </w:rPr>
            </w:pPr>
          </w:p>
        </w:tc>
        <w:tc>
          <w:tcPr>
            <w:tcW w:w="684" w:type="dxa"/>
            <w:vMerge w:val="continue"/>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jc w:val="center"/>
              <w:rPr>
                <w:rFonts w:hint="eastAsia" w:ascii="宋体" w:hAnsi="宋体" w:eastAsia="宋体" w:cs="宋体"/>
                <w:b/>
                <w:i w:val="0"/>
                <w:color w:val="000000"/>
                <w:sz w:val="22"/>
                <w:szCs w:val="22"/>
                <w:highlight w:val="none"/>
                <w:u w:val="none"/>
              </w:rPr>
            </w:pPr>
          </w:p>
        </w:tc>
        <w:tc>
          <w:tcPr>
            <w:tcW w:w="687" w:type="dxa"/>
            <w:vMerge w:val="continue"/>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jc w:val="center"/>
              <w:rPr>
                <w:rFonts w:hint="eastAsia" w:ascii="宋体" w:hAnsi="宋体" w:eastAsia="宋体" w:cs="宋体"/>
                <w:b/>
                <w:i w:val="0"/>
                <w:color w:val="000000"/>
                <w:sz w:val="22"/>
                <w:szCs w:val="22"/>
                <w:highlight w:val="none"/>
                <w:u w:val="none"/>
              </w:rPr>
            </w:pPr>
          </w:p>
        </w:tc>
        <w:tc>
          <w:tcPr>
            <w:tcW w:w="684" w:type="dxa"/>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小计</w:t>
            </w:r>
          </w:p>
        </w:tc>
        <w:tc>
          <w:tcPr>
            <w:tcW w:w="684" w:type="dxa"/>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公务用车</w:t>
            </w:r>
            <w:r>
              <w:rPr>
                <w:rFonts w:hint="eastAsia" w:ascii="宋体" w:hAnsi="宋体" w:eastAsia="宋体" w:cs="宋体"/>
                <w:b/>
                <w:i w:val="0"/>
                <w:color w:val="000000"/>
                <w:kern w:val="0"/>
                <w:sz w:val="22"/>
                <w:szCs w:val="22"/>
                <w:highlight w:val="none"/>
                <w:u w:val="none"/>
                <w:bdr w:val="none" w:color="auto" w:sz="0" w:space="0"/>
                <w:lang w:val="en-US" w:eastAsia="zh-CN" w:bidi="ar"/>
              </w:rPr>
              <w:br w:type="textWrapping"/>
            </w:r>
            <w:r>
              <w:rPr>
                <w:rFonts w:hint="eastAsia" w:ascii="宋体" w:hAnsi="宋体" w:eastAsia="宋体" w:cs="宋体"/>
                <w:b/>
                <w:i w:val="0"/>
                <w:color w:val="000000"/>
                <w:kern w:val="0"/>
                <w:sz w:val="22"/>
                <w:szCs w:val="22"/>
                <w:highlight w:val="none"/>
                <w:u w:val="none"/>
                <w:bdr w:val="none" w:color="auto" w:sz="0" w:space="0"/>
                <w:lang w:val="en-US" w:eastAsia="zh-CN" w:bidi="ar"/>
              </w:rPr>
              <w:t>购置费</w:t>
            </w:r>
          </w:p>
        </w:tc>
        <w:tc>
          <w:tcPr>
            <w:tcW w:w="685" w:type="dxa"/>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公务用车</w:t>
            </w:r>
            <w:r>
              <w:rPr>
                <w:rFonts w:hint="eastAsia" w:ascii="宋体" w:hAnsi="宋体" w:eastAsia="宋体" w:cs="宋体"/>
                <w:b/>
                <w:i w:val="0"/>
                <w:color w:val="000000"/>
                <w:kern w:val="0"/>
                <w:sz w:val="22"/>
                <w:szCs w:val="22"/>
                <w:highlight w:val="none"/>
                <w:u w:val="none"/>
                <w:bdr w:val="none" w:color="auto" w:sz="0" w:space="0"/>
                <w:lang w:val="en-US" w:eastAsia="zh-CN" w:bidi="ar"/>
              </w:rPr>
              <w:br w:type="textWrapping"/>
            </w:r>
            <w:r>
              <w:rPr>
                <w:rFonts w:hint="eastAsia" w:ascii="宋体" w:hAnsi="宋体" w:eastAsia="宋体" w:cs="宋体"/>
                <w:b/>
                <w:i w:val="0"/>
                <w:color w:val="000000"/>
                <w:kern w:val="0"/>
                <w:sz w:val="22"/>
                <w:szCs w:val="22"/>
                <w:highlight w:val="none"/>
                <w:u w:val="none"/>
                <w:bdr w:val="none" w:color="auto" w:sz="0" w:space="0"/>
                <w:lang w:val="en-US" w:eastAsia="zh-CN" w:bidi="ar"/>
              </w:rPr>
              <w:t>运行费</w:t>
            </w:r>
          </w:p>
        </w:tc>
        <w:tc>
          <w:tcPr>
            <w:tcW w:w="683" w:type="dxa"/>
            <w:vMerge w:val="continue"/>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jc w:val="center"/>
              <w:rPr>
                <w:rFonts w:hint="eastAsia" w:ascii="宋体" w:hAnsi="宋体" w:eastAsia="宋体" w:cs="宋体"/>
                <w:b/>
                <w:i w:val="0"/>
                <w:color w:val="000000"/>
                <w:sz w:val="22"/>
                <w:szCs w:val="22"/>
                <w:highlight w:val="none"/>
                <w:u w:val="none"/>
              </w:rPr>
            </w:pPr>
          </w:p>
        </w:tc>
        <w:tc>
          <w:tcPr>
            <w:tcW w:w="684" w:type="dxa"/>
            <w:vMerge w:val="continue"/>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jc w:val="center"/>
              <w:rPr>
                <w:rFonts w:hint="eastAsia" w:ascii="宋体" w:hAnsi="宋体" w:eastAsia="宋体" w:cs="宋体"/>
                <w:b/>
                <w:i w:val="0"/>
                <w:color w:val="000000"/>
                <w:sz w:val="22"/>
                <w:szCs w:val="22"/>
                <w:highlight w:val="none"/>
                <w:u w:val="none"/>
              </w:rPr>
            </w:pPr>
          </w:p>
        </w:tc>
        <w:tc>
          <w:tcPr>
            <w:tcW w:w="687" w:type="dxa"/>
            <w:vMerge w:val="continue"/>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jc w:val="center"/>
              <w:rPr>
                <w:rFonts w:hint="eastAsia" w:ascii="宋体" w:hAnsi="宋体" w:eastAsia="宋体" w:cs="宋体"/>
                <w:b/>
                <w:i w:val="0"/>
                <w:color w:val="000000"/>
                <w:sz w:val="22"/>
                <w:szCs w:val="22"/>
                <w:highlight w:val="none"/>
                <w:u w:val="none"/>
              </w:rPr>
            </w:pPr>
          </w:p>
        </w:tc>
        <w:tc>
          <w:tcPr>
            <w:tcW w:w="684" w:type="dxa"/>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小计</w:t>
            </w:r>
          </w:p>
        </w:tc>
        <w:tc>
          <w:tcPr>
            <w:tcW w:w="684" w:type="dxa"/>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公务用车</w:t>
            </w:r>
            <w:r>
              <w:rPr>
                <w:rFonts w:hint="eastAsia" w:ascii="宋体" w:hAnsi="宋体" w:eastAsia="宋体" w:cs="宋体"/>
                <w:b/>
                <w:i w:val="0"/>
                <w:color w:val="000000"/>
                <w:kern w:val="0"/>
                <w:sz w:val="22"/>
                <w:szCs w:val="22"/>
                <w:highlight w:val="none"/>
                <w:u w:val="none"/>
                <w:bdr w:val="none" w:color="auto" w:sz="0" w:space="0"/>
                <w:lang w:val="en-US" w:eastAsia="zh-CN" w:bidi="ar"/>
              </w:rPr>
              <w:br w:type="textWrapping"/>
            </w:r>
            <w:r>
              <w:rPr>
                <w:rFonts w:hint="eastAsia" w:ascii="宋体" w:hAnsi="宋体" w:eastAsia="宋体" w:cs="宋体"/>
                <w:b/>
                <w:i w:val="0"/>
                <w:color w:val="000000"/>
                <w:kern w:val="0"/>
                <w:sz w:val="22"/>
                <w:szCs w:val="22"/>
                <w:highlight w:val="none"/>
                <w:u w:val="none"/>
                <w:bdr w:val="none" w:color="auto" w:sz="0" w:space="0"/>
                <w:lang w:val="en-US" w:eastAsia="zh-CN" w:bidi="ar"/>
              </w:rPr>
              <w:t>购置费</w:t>
            </w:r>
          </w:p>
        </w:tc>
        <w:tc>
          <w:tcPr>
            <w:tcW w:w="684" w:type="dxa"/>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公务用车</w:t>
            </w:r>
            <w:r>
              <w:rPr>
                <w:rFonts w:hint="eastAsia" w:ascii="宋体" w:hAnsi="宋体" w:eastAsia="宋体" w:cs="宋体"/>
                <w:b/>
                <w:i w:val="0"/>
                <w:color w:val="000000"/>
                <w:kern w:val="0"/>
                <w:sz w:val="22"/>
                <w:szCs w:val="22"/>
                <w:highlight w:val="none"/>
                <w:u w:val="none"/>
                <w:bdr w:val="none" w:color="auto" w:sz="0" w:space="0"/>
                <w:lang w:val="en-US" w:eastAsia="zh-CN" w:bidi="ar"/>
              </w:rPr>
              <w:br w:type="textWrapping"/>
            </w:r>
            <w:r>
              <w:rPr>
                <w:rFonts w:hint="eastAsia" w:ascii="宋体" w:hAnsi="宋体" w:eastAsia="宋体" w:cs="宋体"/>
                <w:b/>
                <w:i w:val="0"/>
                <w:color w:val="000000"/>
                <w:kern w:val="0"/>
                <w:sz w:val="22"/>
                <w:szCs w:val="22"/>
                <w:highlight w:val="none"/>
                <w:u w:val="none"/>
                <w:bdr w:val="none" w:color="auto" w:sz="0" w:space="0"/>
                <w:lang w:val="en-US" w:eastAsia="zh-CN" w:bidi="ar"/>
              </w:rPr>
              <w:t>运行费</w:t>
            </w:r>
          </w:p>
        </w:tc>
        <w:tc>
          <w:tcPr>
            <w:tcW w:w="685" w:type="dxa"/>
            <w:vMerge w:val="continue"/>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jc w:val="center"/>
              <w:rPr>
                <w:rFonts w:hint="eastAsia" w:ascii="宋体" w:hAnsi="宋体" w:eastAsia="宋体" w:cs="宋体"/>
                <w:b/>
                <w:i w:val="0"/>
                <w:color w:val="000000"/>
                <w:sz w:val="22"/>
                <w:szCs w:val="22"/>
                <w:highlight w:val="none"/>
                <w:u w:val="none"/>
              </w:rPr>
            </w:pPr>
          </w:p>
        </w:tc>
        <w:tc>
          <w:tcPr>
            <w:tcW w:w="85" w:type="dxa"/>
            <w:tcBorders>
              <w:top w:val="single" w:color="FFFFFF" w:sz="4" w:space="0"/>
              <w:left w:val="nil"/>
              <w:bottom w:val="single" w:color="FFFFFF" w:sz="4" w:space="0"/>
              <w:right w:val="nil"/>
            </w:tcBorders>
            <w:shd w:val="clear"/>
            <w:tcMar>
              <w:top w:w="12" w:type="dxa"/>
              <w:left w:w="12" w:type="dxa"/>
              <w:right w:w="12" w:type="dxa"/>
            </w:tcMar>
            <w:vAlign w:val="center"/>
          </w:tcPr>
          <w:p>
            <w:pPr>
              <w:rPr>
                <w:rFonts w:hint="eastAsia" w:ascii="宋体" w:hAnsi="宋体" w:eastAsia="宋体" w:cs="宋体"/>
                <w:i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85" w:type="dxa"/>
            <w:tcBorders>
              <w:top w:val="single" w:color="FFFFFF" w:sz="4" w:space="0"/>
              <w:left w:val="nil"/>
              <w:bottom w:val="single" w:color="FFFFFF" w:sz="4" w:space="0"/>
              <w:right w:val="nil"/>
            </w:tcBorders>
            <w:shd w:val="clear"/>
            <w:tcMar>
              <w:top w:w="12" w:type="dxa"/>
              <w:left w:w="12" w:type="dxa"/>
              <w:right w:w="12" w:type="dxa"/>
            </w:tcMar>
            <w:vAlign w:val="center"/>
          </w:tcPr>
          <w:p>
            <w:pPr>
              <w:rPr>
                <w:rFonts w:hint="eastAsia" w:ascii="宋体" w:hAnsi="宋体" w:eastAsia="宋体" w:cs="宋体"/>
                <w:i w:val="0"/>
                <w:color w:val="000000"/>
                <w:sz w:val="18"/>
                <w:szCs w:val="18"/>
                <w:highlight w:val="none"/>
                <w:u w:val="none"/>
              </w:rPr>
            </w:pPr>
          </w:p>
        </w:tc>
        <w:tc>
          <w:tcPr>
            <w:tcW w:w="684"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3.50</w:t>
            </w:r>
          </w:p>
        </w:tc>
        <w:tc>
          <w:tcPr>
            <w:tcW w:w="687"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684"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3.50</w:t>
            </w:r>
          </w:p>
        </w:tc>
        <w:tc>
          <w:tcPr>
            <w:tcW w:w="684"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685"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3.50</w:t>
            </w:r>
          </w:p>
        </w:tc>
        <w:tc>
          <w:tcPr>
            <w:tcW w:w="683"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684"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3.33</w:t>
            </w:r>
          </w:p>
        </w:tc>
        <w:tc>
          <w:tcPr>
            <w:tcW w:w="687"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684"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3.33</w:t>
            </w:r>
          </w:p>
        </w:tc>
        <w:tc>
          <w:tcPr>
            <w:tcW w:w="684"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684"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3.33</w:t>
            </w:r>
          </w:p>
        </w:tc>
        <w:tc>
          <w:tcPr>
            <w:tcW w:w="685"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85" w:type="dxa"/>
            <w:tcBorders>
              <w:top w:val="single" w:color="FFFFFF" w:sz="4" w:space="0"/>
              <w:left w:val="nil"/>
              <w:bottom w:val="single" w:color="FFFFFF" w:sz="4" w:space="0"/>
              <w:right w:val="nil"/>
            </w:tcBorders>
            <w:shd w:val="clear"/>
            <w:tcMar>
              <w:top w:w="12" w:type="dxa"/>
              <w:left w:w="12" w:type="dxa"/>
              <w:right w:w="12" w:type="dxa"/>
            </w:tcMar>
            <w:vAlign w:val="center"/>
          </w:tcPr>
          <w:p>
            <w:pPr>
              <w:rPr>
                <w:rFonts w:hint="eastAsia" w:ascii="宋体" w:hAnsi="宋体" w:eastAsia="宋体" w:cs="宋体"/>
                <w:i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70" w:hRule="atLeast"/>
        </w:trPr>
        <w:tc>
          <w:tcPr>
            <w:tcW w:w="85" w:type="dxa"/>
            <w:tcBorders>
              <w:top w:val="nil"/>
              <w:left w:val="nil"/>
              <w:bottom w:val="single" w:color="FFFFFF" w:sz="4" w:space="0"/>
              <w:right w:val="single" w:color="FFFFFF" w:sz="4" w:space="0"/>
            </w:tcBorders>
            <w:shd w:val="clear"/>
            <w:tcMar>
              <w:top w:w="12" w:type="dxa"/>
              <w:left w:w="12" w:type="dxa"/>
              <w:right w:w="12" w:type="dxa"/>
            </w:tcMar>
            <w:vAlign w:val="center"/>
          </w:tcPr>
          <w:p>
            <w:pPr>
              <w:rPr>
                <w:rFonts w:hint="eastAsia" w:ascii="宋体" w:hAnsi="宋体" w:eastAsia="宋体" w:cs="宋体"/>
                <w:i w:val="0"/>
                <w:color w:val="000000"/>
                <w:sz w:val="18"/>
                <w:szCs w:val="18"/>
                <w:highlight w:val="none"/>
                <w:u w:val="none"/>
              </w:rPr>
            </w:pPr>
          </w:p>
        </w:tc>
        <w:tc>
          <w:tcPr>
            <w:tcW w:w="684" w:type="dxa"/>
            <w:tcBorders>
              <w:top w:val="nil"/>
              <w:left w:val="single" w:color="FFFFFF" w:sz="4" w:space="0"/>
              <w:bottom w:val="single" w:color="FFFFFF" w:sz="4" w:space="0"/>
              <w:right w:val="single" w:color="FFFFFF" w:sz="4" w:space="0"/>
            </w:tcBorders>
            <w:shd w:val="clear"/>
            <w:tcMar>
              <w:top w:w="12" w:type="dxa"/>
              <w:left w:w="12" w:type="dxa"/>
              <w:right w:w="12" w:type="dxa"/>
            </w:tcMar>
            <w:vAlign w:val="center"/>
          </w:tcPr>
          <w:p>
            <w:pPr>
              <w:rPr>
                <w:rFonts w:hint="eastAsia" w:ascii="宋体" w:hAnsi="宋体" w:eastAsia="宋体" w:cs="宋体"/>
                <w:i w:val="0"/>
                <w:color w:val="000000"/>
                <w:sz w:val="18"/>
                <w:szCs w:val="18"/>
                <w:highlight w:val="none"/>
                <w:u w:val="none"/>
              </w:rPr>
            </w:pPr>
          </w:p>
        </w:tc>
        <w:tc>
          <w:tcPr>
            <w:tcW w:w="687" w:type="dxa"/>
            <w:tcBorders>
              <w:top w:val="nil"/>
              <w:left w:val="single" w:color="FFFFFF" w:sz="4" w:space="0"/>
              <w:bottom w:val="single" w:color="FFFFFF" w:sz="4" w:space="0"/>
              <w:right w:val="single" w:color="FFFFFF" w:sz="4" w:space="0"/>
            </w:tcBorders>
            <w:shd w:val="clear"/>
            <w:tcMar>
              <w:top w:w="12" w:type="dxa"/>
              <w:left w:w="12" w:type="dxa"/>
              <w:right w:w="12" w:type="dxa"/>
            </w:tcMar>
            <w:vAlign w:val="center"/>
          </w:tcPr>
          <w:p>
            <w:pPr>
              <w:rPr>
                <w:rFonts w:hint="eastAsia" w:ascii="宋体" w:hAnsi="宋体" w:eastAsia="宋体" w:cs="宋体"/>
                <w:i w:val="0"/>
                <w:color w:val="000000"/>
                <w:sz w:val="18"/>
                <w:szCs w:val="18"/>
                <w:highlight w:val="none"/>
                <w:u w:val="none"/>
              </w:rPr>
            </w:pPr>
          </w:p>
        </w:tc>
        <w:tc>
          <w:tcPr>
            <w:tcW w:w="684" w:type="dxa"/>
            <w:tcBorders>
              <w:top w:val="nil"/>
              <w:left w:val="single" w:color="FFFFFF" w:sz="4" w:space="0"/>
              <w:bottom w:val="single" w:color="FFFFFF" w:sz="4" w:space="0"/>
              <w:right w:val="single" w:color="FFFFFF" w:sz="4" w:space="0"/>
            </w:tcBorders>
            <w:shd w:val="clear"/>
            <w:tcMar>
              <w:top w:w="12" w:type="dxa"/>
              <w:left w:w="12" w:type="dxa"/>
              <w:right w:w="12" w:type="dxa"/>
            </w:tcMar>
            <w:vAlign w:val="center"/>
          </w:tcPr>
          <w:p>
            <w:pPr>
              <w:rPr>
                <w:rFonts w:hint="eastAsia" w:ascii="宋体" w:hAnsi="宋体" w:eastAsia="宋体" w:cs="宋体"/>
                <w:i w:val="0"/>
                <w:color w:val="000000"/>
                <w:sz w:val="18"/>
                <w:szCs w:val="18"/>
                <w:highlight w:val="none"/>
                <w:u w:val="none"/>
              </w:rPr>
            </w:pPr>
          </w:p>
        </w:tc>
        <w:tc>
          <w:tcPr>
            <w:tcW w:w="684" w:type="dxa"/>
            <w:tcBorders>
              <w:top w:val="nil"/>
              <w:left w:val="single" w:color="FFFFFF" w:sz="4" w:space="0"/>
              <w:bottom w:val="single" w:color="FFFFFF" w:sz="4" w:space="0"/>
              <w:right w:val="single" w:color="FFFFFF" w:sz="4" w:space="0"/>
            </w:tcBorders>
            <w:shd w:val="clear"/>
            <w:tcMar>
              <w:top w:w="12" w:type="dxa"/>
              <w:left w:w="12" w:type="dxa"/>
              <w:right w:w="12" w:type="dxa"/>
            </w:tcMar>
            <w:vAlign w:val="center"/>
          </w:tcPr>
          <w:p>
            <w:pPr>
              <w:rPr>
                <w:rFonts w:hint="eastAsia" w:ascii="宋体" w:hAnsi="宋体" w:eastAsia="宋体" w:cs="宋体"/>
                <w:i w:val="0"/>
                <w:color w:val="000000"/>
                <w:sz w:val="18"/>
                <w:szCs w:val="18"/>
                <w:highlight w:val="none"/>
                <w:u w:val="none"/>
              </w:rPr>
            </w:pPr>
          </w:p>
        </w:tc>
        <w:tc>
          <w:tcPr>
            <w:tcW w:w="685" w:type="dxa"/>
            <w:tcBorders>
              <w:top w:val="nil"/>
              <w:left w:val="single" w:color="FFFFFF" w:sz="4" w:space="0"/>
              <w:bottom w:val="single" w:color="FFFFFF" w:sz="4" w:space="0"/>
              <w:right w:val="single" w:color="FFFFFF" w:sz="4" w:space="0"/>
            </w:tcBorders>
            <w:shd w:val="clear"/>
            <w:tcMar>
              <w:top w:w="12" w:type="dxa"/>
              <w:left w:w="12" w:type="dxa"/>
              <w:right w:w="12" w:type="dxa"/>
            </w:tcMar>
            <w:vAlign w:val="center"/>
          </w:tcPr>
          <w:p>
            <w:pPr>
              <w:rPr>
                <w:rFonts w:hint="eastAsia" w:ascii="宋体" w:hAnsi="宋体" w:eastAsia="宋体" w:cs="宋体"/>
                <w:i w:val="0"/>
                <w:color w:val="000000"/>
                <w:sz w:val="18"/>
                <w:szCs w:val="18"/>
                <w:highlight w:val="none"/>
                <w:u w:val="none"/>
              </w:rPr>
            </w:pPr>
          </w:p>
        </w:tc>
        <w:tc>
          <w:tcPr>
            <w:tcW w:w="683" w:type="dxa"/>
            <w:tcBorders>
              <w:top w:val="nil"/>
              <w:left w:val="single" w:color="FFFFFF" w:sz="4" w:space="0"/>
              <w:bottom w:val="single" w:color="FFFFFF" w:sz="4" w:space="0"/>
              <w:right w:val="single" w:color="FFFFFF" w:sz="4" w:space="0"/>
            </w:tcBorders>
            <w:shd w:val="clear"/>
            <w:tcMar>
              <w:top w:w="12" w:type="dxa"/>
              <w:left w:w="12" w:type="dxa"/>
              <w:right w:w="12" w:type="dxa"/>
            </w:tcMar>
            <w:vAlign w:val="center"/>
          </w:tcPr>
          <w:p>
            <w:pPr>
              <w:rPr>
                <w:rFonts w:hint="eastAsia" w:ascii="宋体" w:hAnsi="宋体" w:eastAsia="宋体" w:cs="宋体"/>
                <w:i w:val="0"/>
                <w:color w:val="000000"/>
                <w:sz w:val="18"/>
                <w:szCs w:val="18"/>
                <w:highlight w:val="none"/>
                <w:u w:val="none"/>
              </w:rPr>
            </w:pPr>
          </w:p>
        </w:tc>
        <w:tc>
          <w:tcPr>
            <w:tcW w:w="684" w:type="dxa"/>
            <w:tcBorders>
              <w:top w:val="nil"/>
              <w:left w:val="single" w:color="FFFFFF" w:sz="4" w:space="0"/>
              <w:bottom w:val="single" w:color="FFFFFF" w:sz="4" w:space="0"/>
              <w:right w:val="single" w:color="FFFFFF" w:sz="4" w:space="0"/>
            </w:tcBorders>
            <w:shd w:val="clear"/>
            <w:tcMar>
              <w:top w:w="12" w:type="dxa"/>
              <w:left w:w="12" w:type="dxa"/>
              <w:right w:w="12" w:type="dxa"/>
            </w:tcMar>
            <w:vAlign w:val="center"/>
          </w:tcPr>
          <w:p>
            <w:pPr>
              <w:rPr>
                <w:rFonts w:hint="eastAsia" w:ascii="宋体" w:hAnsi="宋体" w:eastAsia="宋体" w:cs="宋体"/>
                <w:i w:val="0"/>
                <w:color w:val="000000"/>
                <w:sz w:val="18"/>
                <w:szCs w:val="18"/>
                <w:highlight w:val="none"/>
                <w:u w:val="none"/>
              </w:rPr>
            </w:pPr>
          </w:p>
        </w:tc>
        <w:tc>
          <w:tcPr>
            <w:tcW w:w="687" w:type="dxa"/>
            <w:tcBorders>
              <w:top w:val="nil"/>
              <w:left w:val="single" w:color="FFFFFF" w:sz="4" w:space="0"/>
              <w:bottom w:val="single" w:color="FFFFFF" w:sz="4" w:space="0"/>
              <w:right w:val="single" w:color="FFFFFF" w:sz="4" w:space="0"/>
            </w:tcBorders>
            <w:shd w:val="clear"/>
            <w:tcMar>
              <w:top w:w="12" w:type="dxa"/>
              <w:left w:w="12" w:type="dxa"/>
              <w:right w:w="12" w:type="dxa"/>
            </w:tcMar>
            <w:vAlign w:val="center"/>
          </w:tcPr>
          <w:p>
            <w:pPr>
              <w:rPr>
                <w:rFonts w:hint="eastAsia" w:ascii="宋体" w:hAnsi="宋体" w:eastAsia="宋体" w:cs="宋体"/>
                <w:i w:val="0"/>
                <w:color w:val="000000"/>
                <w:sz w:val="18"/>
                <w:szCs w:val="18"/>
                <w:highlight w:val="none"/>
                <w:u w:val="none"/>
              </w:rPr>
            </w:pPr>
          </w:p>
        </w:tc>
        <w:tc>
          <w:tcPr>
            <w:tcW w:w="684" w:type="dxa"/>
            <w:tcBorders>
              <w:top w:val="nil"/>
              <w:left w:val="single" w:color="FFFFFF" w:sz="4" w:space="0"/>
              <w:bottom w:val="single" w:color="FFFFFF" w:sz="4" w:space="0"/>
              <w:right w:val="single" w:color="FFFFFF" w:sz="4" w:space="0"/>
            </w:tcBorders>
            <w:shd w:val="clear"/>
            <w:tcMar>
              <w:top w:w="12" w:type="dxa"/>
              <w:left w:w="12" w:type="dxa"/>
              <w:right w:w="12" w:type="dxa"/>
            </w:tcMar>
            <w:vAlign w:val="center"/>
          </w:tcPr>
          <w:p>
            <w:pPr>
              <w:rPr>
                <w:rFonts w:hint="eastAsia" w:ascii="宋体" w:hAnsi="宋体" w:eastAsia="宋体" w:cs="宋体"/>
                <w:i w:val="0"/>
                <w:color w:val="000000"/>
                <w:sz w:val="18"/>
                <w:szCs w:val="18"/>
                <w:highlight w:val="none"/>
                <w:u w:val="none"/>
              </w:rPr>
            </w:pPr>
          </w:p>
        </w:tc>
        <w:tc>
          <w:tcPr>
            <w:tcW w:w="684" w:type="dxa"/>
            <w:tcBorders>
              <w:top w:val="nil"/>
              <w:left w:val="single" w:color="FFFFFF" w:sz="4" w:space="0"/>
              <w:bottom w:val="single" w:color="FFFFFF" w:sz="4" w:space="0"/>
              <w:right w:val="single" w:color="FFFFFF" w:sz="4" w:space="0"/>
            </w:tcBorders>
            <w:shd w:val="clear"/>
            <w:tcMar>
              <w:top w:w="12" w:type="dxa"/>
              <w:left w:w="12" w:type="dxa"/>
              <w:right w:w="12" w:type="dxa"/>
            </w:tcMar>
            <w:vAlign w:val="center"/>
          </w:tcPr>
          <w:p>
            <w:pPr>
              <w:rPr>
                <w:rFonts w:hint="eastAsia" w:ascii="宋体" w:hAnsi="宋体" w:eastAsia="宋体" w:cs="宋体"/>
                <w:i w:val="0"/>
                <w:color w:val="000000"/>
                <w:sz w:val="18"/>
                <w:szCs w:val="18"/>
                <w:highlight w:val="none"/>
                <w:u w:val="none"/>
              </w:rPr>
            </w:pPr>
          </w:p>
        </w:tc>
        <w:tc>
          <w:tcPr>
            <w:tcW w:w="684" w:type="dxa"/>
            <w:tcBorders>
              <w:top w:val="nil"/>
              <w:left w:val="single" w:color="FFFFFF" w:sz="4" w:space="0"/>
              <w:bottom w:val="single" w:color="FFFFFF" w:sz="4" w:space="0"/>
              <w:right w:val="single" w:color="FFFFFF" w:sz="4" w:space="0"/>
            </w:tcBorders>
            <w:shd w:val="clear"/>
            <w:tcMar>
              <w:top w:w="12" w:type="dxa"/>
              <w:left w:w="12" w:type="dxa"/>
              <w:right w:w="12" w:type="dxa"/>
            </w:tcMar>
            <w:vAlign w:val="center"/>
          </w:tcPr>
          <w:p>
            <w:pPr>
              <w:rPr>
                <w:rFonts w:hint="eastAsia" w:ascii="宋体" w:hAnsi="宋体" w:eastAsia="宋体" w:cs="宋体"/>
                <w:i w:val="0"/>
                <w:color w:val="000000"/>
                <w:sz w:val="18"/>
                <w:szCs w:val="18"/>
                <w:highlight w:val="none"/>
                <w:u w:val="none"/>
              </w:rPr>
            </w:pPr>
          </w:p>
        </w:tc>
        <w:tc>
          <w:tcPr>
            <w:tcW w:w="685" w:type="dxa"/>
            <w:tcBorders>
              <w:top w:val="nil"/>
              <w:left w:val="single" w:color="FFFFFF" w:sz="4" w:space="0"/>
              <w:bottom w:val="single" w:color="FFFFFF" w:sz="4" w:space="0"/>
              <w:right w:val="single" w:color="FFFFFF" w:sz="4" w:space="0"/>
            </w:tcBorders>
            <w:shd w:val="clear"/>
            <w:tcMar>
              <w:top w:w="12" w:type="dxa"/>
              <w:left w:w="12" w:type="dxa"/>
              <w:right w:w="12" w:type="dxa"/>
            </w:tcMar>
            <w:vAlign w:val="center"/>
          </w:tcPr>
          <w:p>
            <w:pPr>
              <w:rPr>
                <w:rFonts w:hint="eastAsia" w:ascii="宋体" w:hAnsi="宋体" w:eastAsia="宋体" w:cs="宋体"/>
                <w:i w:val="0"/>
                <w:color w:val="000000"/>
                <w:sz w:val="18"/>
                <w:szCs w:val="18"/>
                <w:highlight w:val="none"/>
                <w:u w:val="none"/>
              </w:rPr>
            </w:pPr>
          </w:p>
        </w:tc>
        <w:tc>
          <w:tcPr>
            <w:tcW w:w="85" w:type="dxa"/>
            <w:tcBorders>
              <w:top w:val="single" w:color="FFFFFF" w:sz="4" w:space="0"/>
              <w:left w:val="nil"/>
              <w:bottom w:val="single" w:color="FFFFFF" w:sz="4" w:space="0"/>
              <w:right w:val="nil"/>
            </w:tcBorders>
            <w:shd w:val="clear"/>
            <w:tcMar>
              <w:top w:w="12" w:type="dxa"/>
              <w:left w:w="12" w:type="dxa"/>
              <w:right w:w="12" w:type="dxa"/>
            </w:tcMar>
            <w:vAlign w:val="center"/>
          </w:tcPr>
          <w:p>
            <w:pPr>
              <w:rPr>
                <w:rFonts w:hint="eastAsia" w:ascii="宋体" w:hAnsi="宋体" w:eastAsia="宋体" w:cs="宋体"/>
                <w:i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1" w:hRule="atLeast"/>
        </w:trPr>
        <w:tc>
          <w:tcPr>
            <w:tcW w:w="85" w:type="dxa"/>
            <w:tcBorders>
              <w:top w:val="single" w:color="FFFFFF" w:sz="4" w:space="0"/>
              <w:left w:val="nil"/>
              <w:bottom w:val="nil"/>
              <w:right w:val="single" w:color="FFFFFF" w:sz="4" w:space="0"/>
            </w:tcBorders>
            <w:shd w:val="clear"/>
            <w:tcMar>
              <w:top w:w="12" w:type="dxa"/>
              <w:left w:w="12" w:type="dxa"/>
              <w:right w:w="12" w:type="dxa"/>
            </w:tcMar>
            <w:vAlign w:val="center"/>
          </w:tcPr>
          <w:p>
            <w:pPr>
              <w:rPr>
                <w:rFonts w:hint="eastAsia" w:ascii="宋体" w:hAnsi="宋体" w:eastAsia="宋体" w:cs="宋体"/>
                <w:i w:val="0"/>
                <w:color w:val="000000"/>
                <w:sz w:val="20"/>
                <w:szCs w:val="20"/>
                <w:highlight w:val="none"/>
                <w:u w:val="none"/>
              </w:rPr>
            </w:pPr>
          </w:p>
        </w:tc>
        <w:tc>
          <w:tcPr>
            <w:tcW w:w="8215" w:type="dxa"/>
            <w:gridSpan w:val="12"/>
            <w:tcBorders>
              <w:top w:val="single" w:color="FFFFFF" w:sz="4" w:space="0"/>
              <w:left w:val="single" w:color="FFFFFF" w:sz="4" w:space="0"/>
              <w:bottom w:val="nil"/>
              <w:right w:val="single" w:color="FFFFFF" w:sz="4" w:space="0"/>
            </w:tcBorders>
            <w:shd w:val="clear"/>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20"/>
                <w:szCs w:val="20"/>
                <w:highlight w:val="none"/>
                <w:u w:val="none"/>
              </w:rPr>
            </w:pPr>
            <w:r>
              <w:rPr>
                <w:rFonts w:ascii="宋体" w:hAnsi="宋体" w:eastAsia="宋体" w:cs="宋体"/>
                <w:i w:val="0"/>
                <w:color w:val="000000"/>
                <w:kern w:val="0"/>
                <w:sz w:val="20"/>
                <w:szCs w:val="20"/>
                <w:highlight w:val="none"/>
                <w:u w:val="none"/>
                <w:bdr w:val="none" w:color="auto" w:sz="0" w:space="0"/>
                <w:lang w:val="en-US" w:eastAsia="zh-CN" w:bidi="ar"/>
              </w:rPr>
              <w:t>取数说明：取数口径不包含指标类型31、32</w:t>
            </w:r>
          </w:p>
        </w:tc>
        <w:tc>
          <w:tcPr>
            <w:tcW w:w="85" w:type="dxa"/>
            <w:tcBorders>
              <w:top w:val="single" w:color="FFFFFF" w:sz="4" w:space="0"/>
              <w:left w:val="nil"/>
              <w:bottom w:val="nil"/>
              <w:right w:val="nil"/>
            </w:tcBorders>
            <w:shd w:val="clear"/>
            <w:tcMar>
              <w:top w:w="12" w:type="dxa"/>
              <w:left w:w="12" w:type="dxa"/>
              <w:right w:w="12" w:type="dxa"/>
            </w:tcMar>
            <w:vAlign w:val="center"/>
          </w:tcPr>
          <w:p>
            <w:pPr>
              <w:rPr>
                <w:rFonts w:hint="eastAsia" w:ascii="宋体" w:hAnsi="宋体" w:eastAsia="宋体" w:cs="宋体"/>
                <w:i w:val="0"/>
                <w:color w:val="000000"/>
                <w:sz w:val="20"/>
                <w:szCs w:val="20"/>
                <w:highlight w:val="none"/>
                <w:u w:val="none"/>
              </w:rPr>
            </w:pPr>
          </w:p>
        </w:tc>
      </w:tr>
    </w:tbl>
    <w:p>
      <w:pPr>
        <w:pStyle w:val="7"/>
        <w:numPr>
          <w:ilvl w:val="0"/>
          <w:numId w:val="0"/>
        </w:numPr>
        <w:ind w:leftChars="200"/>
        <w:rPr>
          <w:rFonts w:hint="eastAsia" w:ascii="黑体" w:hAnsi="黑体" w:eastAsia="黑体" w:cs="黑体"/>
          <w:sz w:val="30"/>
          <w:szCs w:val="30"/>
          <w:highlight w:val="none"/>
          <w:lang w:eastAsia="zh-CN"/>
        </w:rPr>
      </w:pPr>
    </w:p>
    <w:p>
      <w:pPr>
        <w:pStyle w:val="7"/>
        <w:numPr>
          <w:ilvl w:val="0"/>
          <w:numId w:val="0"/>
        </w:numPr>
        <w:ind w:leftChars="200"/>
        <w:rPr>
          <w:rFonts w:hint="eastAsia" w:ascii="黑体" w:hAnsi="黑体" w:eastAsia="黑体" w:cs="黑体"/>
          <w:sz w:val="30"/>
          <w:szCs w:val="30"/>
          <w:highlight w:val="none"/>
        </w:rPr>
      </w:pPr>
      <w:r>
        <w:rPr>
          <w:rFonts w:hint="eastAsia" w:ascii="黑体" w:hAnsi="黑体" w:eastAsia="黑体" w:cs="黑体"/>
          <w:sz w:val="30"/>
          <w:szCs w:val="30"/>
          <w:highlight w:val="none"/>
          <w:lang w:eastAsia="zh-CN"/>
        </w:rPr>
        <w:t>五、</w:t>
      </w:r>
      <w:r>
        <w:rPr>
          <w:rFonts w:hint="eastAsia" w:ascii="黑体" w:hAnsi="黑体" w:eastAsia="黑体" w:cs="黑体"/>
          <w:sz w:val="30"/>
          <w:szCs w:val="30"/>
          <w:highlight w:val="none"/>
        </w:rPr>
        <w:t>政府性基金预算支出表</w:t>
      </w:r>
    </w:p>
    <w:tbl>
      <w:tblPr>
        <w:tblStyle w:val="5"/>
        <w:tblW w:w="907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440"/>
        <w:gridCol w:w="426"/>
        <w:gridCol w:w="600"/>
        <w:gridCol w:w="1214"/>
        <w:gridCol w:w="1733"/>
        <w:gridCol w:w="1747"/>
        <w:gridCol w:w="29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98" w:hRule="atLeast"/>
        </w:trPr>
        <w:tc>
          <w:tcPr>
            <w:tcW w:w="9071" w:type="dxa"/>
            <w:gridSpan w:val="7"/>
            <w:tcBorders>
              <w:top w:val="single" w:color="FFFFFF" w:sz="4" w:space="0"/>
              <w:left w:val="single" w:color="FFFFFF" w:sz="4" w:space="0"/>
              <w:bottom w:val="single" w:color="FFFFFF" w:sz="4" w:space="0"/>
              <w:right w:val="single" w:color="FFFFFF"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ascii="黑体" w:hAnsi="宋体" w:eastAsia="黑体" w:cs="黑体"/>
                <w:b/>
                <w:i w:val="0"/>
                <w:color w:val="000000"/>
                <w:sz w:val="32"/>
                <w:szCs w:val="32"/>
                <w:highlight w:val="none"/>
                <w:u w:val="none"/>
              </w:rPr>
            </w:pPr>
            <w:r>
              <w:rPr>
                <w:rFonts w:hint="eastAsia" w:ascii="黑体" w:hAnsi="宋体" w:eastAsia="黑体" w:cs="黑体"/>
                <w:b/>
                <w:i w:val="0"/>
                <w:color w:val="000000"/>
                <w:kern w:val="0"/>
                <w:sz w:val="32"/>
                <w:szCs w:val="32"/>
                <w:highlight w:val="none"/>
                <w:u w:val="none"/>
                <w:lang w:val="en-US" w:eastAsia="zh-CN" w:bidi="ar"/>
              </w:rPr>
              <w:t>政府性基金预算支出表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1" w:hRule="atLeast"/>
        </w:trPr>
        <w:tc>
          <w:tcPr>
            <w:tcW w:w="9071" w:type="dxa"/>
            <w:gridSpan w:val="7"/>
            <w:tcBorders>
              <w:top w:val="single" w:color="FFFFFF" w:sz="4" w:space="0"/>
              <w:left w:val="single" w:color="FFFFFF" w:sz="4" w:space="0"/>
              <w:bottom w:val="nil"/>
              <w:right w:val="single" w:color="FFFFFF" w:sz="4" w:space="0"/>
            </w:tcBorders>
            <w:shd w:val="clear" w:color="auto" w:fill="auto"/>
            <w:tcMar>
              <w:top w:w="12" w:type="dxa"/>
              <w:left w:w="12" w:type="dxa"/>
              <w:right w:w="12" w:type="dxa"/>
            </w:tcMar>
            <w:vAlign w:val="center"/>
          </w:tcPr>
          <w:p>
            <w:pPr>
              <w:keepNext w:val="0"/>
              <w:keepLines w:val="0"/>
              <w:widowControl/>
              <w:suppressLineNumbers w:val="0"/>
              <w:jc w:val="right"/>
              <w:textAlignment w:val="center"/>
              <w:rPr>
                <w:rFonts w:ascii="宋体" w:hAnsi="宋体" w:eastAsia="宋体" w:cs="宋体"/>
                <w:i w:val="0"/>
                <w:color w:val="000000"/>
                <w:sz w:val="22"/>
                <w:szCs w:val="22"/>
                <w:highlight w:val="none"/>
                <w:u w:val="none"/>
              </w:rPr>
            </w:pPr>
            <w:r>
              <w:rPr>
                <w:rFonts w:ascii="宋体" w:hAnsi="宋体" w:eastAsia="宋体" w:cs="宋体"/>
                <w:i w:val="0"/>
                <w:color w:val="000000"/>
                <w:kern w:val="0"/>
                <w:sz w:val="22"/>
                <w:szCs w:val="22"/>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7" w:hRule="atLeast"/>
        </w:trPr>
        <w:tc>
          <w:tcPr>
            <w:tcW w:w="2680" w:type="dxa"/>
            <w:gridSpan w:val="4"/>
            <w:tcBorders>
              <w:top w:val="single" w:color="C2C3C4" w:sz="4" w:space="0"/>
              <w:left w:val="single" w:color="C2C3C4" w:sz="4" w:space="0"/>
              <w:bottom w:val="single" w:color="C2C3C4" w:sz="4" w:space="0"/>
              <w:right w:val="single" w:color="C2C3C4" w:sz="4" w:space="0"/>
            </w:tcBorders>
            <w:shd w:val="clear" w:color="EFF2F7" w:fill="EFF2F7"/>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支出功能分类科目</w:t>
            </w:r>
          </w:p>
        </w:tc>
        <w:tc>
          <w:tcPr>
            <w:tcW w:w="6391" w:type="dxa"/>
            <w:gridSpan w:val="3"/>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cs="宋体"/>
                <w:b/>
                <w:i w:val="0"/>
                <w:color w:val="000000"/>
                <w:kern w:val="0"/>
                <w:sz w:val="22"/>
                <w:szCs w:val="22"/>
                <w:highlight w:val="none"/>
                <w:u w:val="none"/>
                <w:lang w:val="en-US" w:eastAsia="zh-CN" w:bidi="ar"/>
              </w:rPr>
              <w:t>2024</w:t>
            </w:r>
            <w:r>
              <w:rPr>
                <w:rFonts w:hint="eastAsia" w:ascii="宋体" w:hAnsi="宋体" w:eastAsia="宋体" w:cs="宋体"/>
                <w:b/>
                <w:i w:val="0"/>
                <w:color w:val="000000"/>
                <w:kern w:val="0"/>
                <w:sz w:val="22"/>
                <w:szCs w:val="22"/>
                <w:highlight w:val="none"/>
                <w:u w:val="none"/>
                <w:lang w:val="en-US" w:eastAsia="zh-CN" w:bidi="ar"/>
              </w:rPr>
              <w:t>年预算数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7" w:hRule="atLeast"/>
        </w:trPr>
        <w:tc>
          <w:tcPr>
            <w:tcW w:w="1466" w:type="dxa"/>
            <w:gridSpan w:val="3"/>
            <w:tcBorders>
              <w:top w:val="single" w:color="C2C3C4" w:sz="4" w:space="0"/>
              <w:left w:val="single" w:color="C2C3C4" w:sz="4" w:space="0"/>
              <w:bottom w:val="single" w:color="C2C3C4" w:sz="4" w:space="0"/>
              <w:right w:val="single" w:color="C2C3C4" w:sz="4" w:space="0"/>
            </w:tcBorders>
            <w:shd w:val="clear" w:color="EFF2F7" w:fill="EFF2F7"/>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科目编码</w:t>
            </w:r>
          </w:p>
        </w:tc>
        <w:tc>
          <w:tcPr>
            <w:tcW w:w="1214" w:type="dxa"/>
            <w:vMerge w:val="restart"/>
            <w:tcBorders>
              <w:top w:val="single" w:color="C2C3C4" w:sz="4" w:space="0"/>
              <w:left w:val="single" w:color="C2C3C4" w:sz="4" w:space="0"/>
              <w:bottom w:val="single" w:color="C2C3C4" w:sz="4" w:space="0"/>
              <w:right w:val="single" w:color="C2C3C4" w:sz="4" w:space="0"/>
            </w:tcBorders>
            <w:shd w:val="clear" w:color="EFF2F7" w:fill="EFF2F7"/>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科目名称</w:t>
            </w:r>
          </w:p>
        </w:tc>
        <w:tc>
          <w:tcPr>
            <w:tcW w:w="1733" w:type="dxa"/>
            <w:vMerge w:val="restart"/>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合计</w:t>
            </w:r>
          </w:p>
        </w:tc>
        <w:tc>
          <w:tcPr>
            <w:tcW w:w="1747" w:type="dxa"/>
            <w:vMerge w:val="restart"/>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基本支出</w:t>
            </w:r>
          </w:p>
        </w:tc>
        <w:tc>
          <w:tcPr>
            <w:tcW w:w="2911" w:type="dxa"/>
            <w:vMerge w:val="restart"/>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7" w:hRule="atLeast"/>
        </w:trPr>
        <w:tc>
          <w:tcPr>
            <w:tcW w:w="440" w:type="dxa"/>
            <w:tcBorders>
              <w:top w:val="single" w:color="C2C3C4" w:sz="4" w:space="0"/>
              <w:left w:val="single" w:color="C2C3C4" w:sz="4" w:space="0"/>
              <w:bottom w:val="single" w:color="C2C3C4" w:sz="4" w:space="0"/>
              <w:right w:val="single" w:color="C2C3C4" w:sz="4" w:space="0"/>
            </w:tcBorders>
            <w:shd w:val="clear" w:color="EFF2F7" w:fill="EFF2F7"/>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类</w:t>
            </w:r>
          </w:p>
        </w:tc>
        <w:tc>
          <w:tcPr>
            <w:tcW w:w="426" w:type="dxa"/>
            <w:tcBorders>
              <w:top w:val="single" w:color="C2C3C4" w:sz="4" w:space="0"/>
              <w:left w:val="single" w:color="C2C3C4" w:sz="4" w:space="0"/>
              <w:bottom w:val="single" w:color="C2C3C4" w:sz="4" w:space="0"/>
              <w:right w:val="single" w:color="C2C3C4" w:sz="4" w:space="0"/>
            </w:tcBorders>
            <w:shd w:val="clear" w:color="EFF2F7" w:fill="EFF2F7"/>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款</w:t>
            </w:r>
          </w:p>
        </w:tc>
        <w:tc>
          <w:tcPr>
            <w:tcW w:w="600" w:type="dxa"/>
            <w:tcBorders>
              <w:top w:val="single" w:color="C2C3C4" w:sz="4" w:space="0"/>
              <w:left w:val="single" w:color="C2C3C4" w:sz="4" w:space="0"/>
              <w:bottom w:val="single" w:color="C2C3C4" w:sz="4" w:space="0"/>
              <w:right w:val="single" w:color="C2C3C4" w:sz="4" w:space="0"/>
            </w:tcBorders>
            <w:shd w:val="clear" w:color="EFF2F7" w:fill="EFF2F7"/>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项</w:t>
            </w:r>
          </w:p>
        </w:tc>
        <w:tc>
          <w:tcPr>
            <w:tcW w:w="1214" w:type="dxa"/>
            <w:vMerge w:val="continue"/>
            <w:tcBorders>
              <w:top w:val="single" w:color="C2C3C4" w:sz="4" w:space="0"/>
              <w:left w:val="single" w:color="C2C3C4" w:sz="4" w:space="0"/>
              <w:bottom w:val="single" w:color="C2C3C4" w:sz="4" w:space="0"/>
              <w:right w:val="single" w:color="C2C3C4" w:sz="4" w:space="0"/>
            </w:tcBorders>
            <w:shd w:val="clear" w:color="EFF2F7" w:fill="EFF2F7"/>
            <w:noWrap/>
            <w:tcMar>
              <w:top w:w="12" w:type="dxa"/>
              <w:left w:w="12" w:type="dxa"/>
              <w:right w:w="12" w:type="dxa"/>
            </w:tcMar>
            <w:vAlign w:val="center"/>
          </w:tcPr>
          <w:p>
            <w:pPr>
              <w:jc w:val="center"/>
              <w:rPr>
                <w:rFonts w:hint="eastAsia" w:ascii="宋体" w:hAnsi="宋体" w:eastAsia="宋体" w:cs="宋体"/>
                <w:b/>
                <w:i w:val="0"/>
                <w:color w:val="000000"/>
                <w:sz w:val="22"/>
                <w:szCs w:val="22"/>
                <w:highlight w:val="none"/>
                <w:u w:val="none"/>
              </w:rPr>
            </w:pPr>
          </w:p>
        </w:tc>
        <w:tc>
          <w:tcPr>
            <w:tcW w:w="1733" w:type="dxa"/>
            <w:vMerge w:val="continue"/>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jc w:val="center"/>
              <w:rPr>
                <w:rFonts w:hint="eastAsia" w:ascii="宋体" w:hAnsi="宋体" w:eastAsia="宋体" w:cs="宋体"/>
                <w:b/>
                <w:i w:val="0"/>
                <w:color w:val="000000"/>
                <w:sz w:val="22"/>
                <w:szCs w:val="22"/>
                <w:highlight w:val="none"/>
                <w:u w:val="none"/>
              </w:rPr>
            </w:pPr>
          </w:p>
        </w:tc>
        <w:tc>
          <w:tcPr>
            <w:tcW w:w="1747" w:type="dxa"/>
            <w:vMerge w:val="continue"/>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jc w:val="center"/>
              <w:rPr>
                <w:rFonts w:hint="eastAsia" w:ascii="宋体" w:hAnsi="宋体" w:eastAsia="宋体" w:cs="宋体"/>
                <w:b/>
                <w:i w:val="0"/>
                <w:color w:val="000000"/>
                <w:sz w:val="22"/>
                <w:szCs w:val="22"/>
                <w:highlight w:val="none"/>
                <w:u w:val="none"/>
              </w:rPr>
            </w:pPr>
          </w:p>
        </w:tc>
        <w:tc>
          <w:tcPr>
            <w:tcW w:w="2911" w:type="dxa"/>
            <w:vMerge w:val="continue"/>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jc w:val="center"/>
              <w:rPr>
                <w:rFonts w:hint="eastAsia" w:ascii="宋体" w:hAnsi="宋体" w:eastAsia="宋体" w:cs="宋体"/>
                <w:b/>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2680" w:type="dxa"/>
            <w:gridSpan w:val="4"/>
            <w:tcBorders>
              <w:top w:val="single" w:color="C2C3C4" w:sz="4" w:space="0"/>
              <w:left w:val="single" w:color="C2C3C4" w:sz="4" w:space="0"/>
              <w:bottom w:val="nil"/>
              <w:right w:val="single" w:color="C2C3C4"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合    计</w:t>
            </w:r>
          </w:p>
        </w:tc>
        <w:tc>
          <w:tcPr>
            <w:tcW w:w="1733" w:type="dxa"/>
            <w:tcBorders>
              <w:top w:val="single" w:color="C2C3C4" w:sz="4" w:space="0"/>
              <w:left w:val="single" w:color="C2C3C4" w:sz="4" w:space="0"/>
              <w:bottom w:val="nil"/>
              <w:right w:val="single" w:color="C2C3C4" w:sz="4" w:space="0"/>
            </w:tcBorders>
            <w:shd w:val="clear" w:color="auto" w:fill="auto"/>
            <w:noWrap/>
            <w:tcMar>
              <w:top w:w="12" w:type="dxa"/>
              <w:left w:w="12" w:type="dxa"/>
              <w:right w:w="12" w:type="dxa"/>
            </w:tcMar>
            <w:vAlign w:val="center"/>
          </w:tcPr>
          <w:p>
            <w:pPr>
              <w:jc w:val="right"/>
              <w:rPr>
                <w:rFonts w:hint="eastAsia" w:ascii="宋体" w:hAnsi="宋体" w:eastAsia="宋体" w:cs="宋体"/>
                <w:b/>
                <w:i w:val="0"/>
                <w:color w:val="000000"/>
                <w:sz w:val="22"/>
                <w:szCs w:val="22"/>
                <w:highlight w:val="none"/>
                <w:u w:val="none"/>
              </w:rPr>
            </w:pPr>
          </w:p>
        </w:tc>
        <w:tc>
          <w:tcPr>
            <w:tcW w:w="1747" w:type="dxa"/>
            <w:tcBorders>
              <w:top w:val="single" w:color="C2C3C4" w:sz="4" w:space="0"/>
              <w:left w:val="single" w:color="C2C3C4" w:sz="4" w:space="0"/>
              <w:bottom w:val="nil"/>
              <w:right w:val="single" w:color="C2C3C4" w:sz="4" w:space="0"/>
            </w:tcBorders>
            <w:shd w:val="clear" w:color="auto" w:fill="auto"/>
            <w:noWrap/>
            <w:tcMar>
              <w:top w:w="12" w:type="dxa"/>
              <w:left w:w="12" w:type="dxa"/>
              <w:right w:w="12" w:type="dxa"/>
            </w:tcMar>
            <w:vAlign w:val="center"/>
          </w:tcPr>
          <w:p>
            <w:pPr>
              <w:jc w:val="right"/>
              <w:rPr>
                <w:rFonts w:hint="eastAsia" w:ascii="宋体" w:hAnsi="宋体" w:eastAsia="宋体" w:cs="宋体"/>
                <w:b/>
                <w:i w:val="0"/>
                <w:color w:val="000000"/>
                <w:sz w:val="22"/>
                <w:szCs w:val="22"/>
                <w:highlight w:val="none"/>
                <w:u w:val="none"/>
              </w:rPr>
            </w:pPr>
          </w:p>
        </w:tc>
        <w:tc>
          <w:tcPr>
            <w:tcW w:w="2911" w:type="dxa"/>
            <w:tcBorders>
              <w:top w:val="single" w:color="C2C3C4" w:sz="4" w:space="0"/>
              <w:left w:val="single" w:color="C2C3C4" w:sz="4" w:space="0"/>
              <w:bottom w:val="nil"/>
              <w:right w:val="single" w:color="C2C3C4" w:sz="4" w:space="0"/>
            </w:tcBorders>
            <w:shd w:val="clear" w:color="auto" w:fill="auto"/>
            <w:noWrap/>
            <w:tcMar>
              <w:top w:w="12" w:type="dxa"/>
              <w:left w:w="12" w:type="dxa"/>
              <w:right w:w="12" w:type="dxa"/>
            </w:tcMar>
            <w:vAlign w:val="center"/>
          </w:tcPr>
          <w:p>
            <w:pPr>
              <w:jc w:val="right"/>
              <w:rPr>
                <w:rFonts w:hint="eastAsia" w:ascii="宋体" w:hAnsi="宋体" w:eastAsia="宋体" w:cs="宋体"/>
                <w:b/>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9071" w:type="dxa"/>
            <w:gridSpan w:val="7"/>
            <w:tcBorders>
              <w:top w:val="nil"/>
              <w:left w:val="nil"/>
              <w:bottom w:val="nil"/>
              <w:right w:val="single" w:color="C2C3C4" w:sz="4" w:space="0"/>
            </w:tcBorders>
            <w:shd w:val="clear" w:color="auto" w:fill="auto"/>
            <w:noWrap/>
            <w:tcMar>
              <w:top w:w="12" w:type="dxa"/>
              <w:left w:w="12" w:type="dxa"/>
              <w:right w:w="12" w:type="dxa"/>
            </w:tcMar>
            <w:vAlign w:val="center"/>
          </w:tcPr>
          <w:p>
            <w:pPr>
              <w:keepNext w:val="0"/>
              <w:keepLines w:val="0"/>
              <w:widowControl/>
              <w:suppressLineNumbers w:val="0"/>
              <w:ind w:firstLineChars="200"/>
              <w:jc w:val="both"/>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此项目无预算，此表为空</w:t>
            </w:r>
          </w:p>
        </w:tc>
      </w:tr>
    </w:tbl>
    <w:p>
      <w:pPr>
        <w:pStyle w:val="7"/>
        <w:numPr>
          <w:ilvl w:val="0"/>
          <w:numId w:val="0"/>
        </w:numPr>
        <w:ind w:leftChars="400"/>
        <w:rPr>
          <w:rFonts w:hint="eastAsia" w:ascii="黑体" w:hAnsi="黑体" w:eastAsia="黑体" w:cs="黑体"/>
          <w:sz w:val="30"/>
          <w:szCs w:val="30"/>
          <w:highlight w:val="none"/>
        </w:rPr>
      </w:pPr>
    </w:p>
    <w:p>
      <w:pPr>
        <w:pStyle w:val="7"/>
        <w:numPr>
          <w:ilvl w:val="0"/>
          <w:numId w:val="0"/>
        </w:numPr>
        <w:ind w:leftChars="200"/>
        <w:rPr>
          <w:rFonts w:hint="eastAsia" w:ascii="黑体" w:hAnsi="黑体" w:eastAsia="黑体" w:cs="黑体"/>
          <w:sz w:val="30"/>
          <w:szCs w:val="30"/>
          <w:highlight w:val="none"/>
        </w:rPr>
      </w:pPr>
      <w:r>
        <w:rPr>
          <w:rFonts w:hint="eastAsia" w:ascii="黑体" w:hAnsi="黑体" w:eastAsia="黑体" w:cs="黑体"/>
          <w:sz w:val="30"/>
          <w:szCs w:val="30"/>
          <w:highlight w:val="none"/>
          <w:lang w:eastAsia="zh-CN"/>
        </w:rPr>
        <w:t>六、</w:t>
      </w:r>
      <w:r>
        <w:rPr>
          <w:rFonts w:hint="eastAsia" w:ascii="黑体" w:hAnsi="黑体" w:eastAsia="黑体" w:cs="黑体"/>
          <w:sz w:val="30"/>
          <w:szCs w:val="30"/>
          <w:highlight w:val="none"/>
        </w:rPr>
        <w:t>政府性基金预算“三公”经费支出表</w:t>
      </w:r>
    </w:p>
    <w:tbl>
      <w:tblPr>
        <w:tblW w:w="83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694"/>
        <w:gridCol w:w="694"/>
        <w:gridCol w:w="694"/>
        <w:gridCol w:w="694"/>
        <w:gridCol w:w="695"/>
        <w:gridCol w:w="694"/>
        <w:gridCol w:w="694"/>
        <w:gridCol w:w="694"/>
        <w:gridCol w:w="694"/>
        <w:gridCol w:w="695"/>
        <w:gridCol w:w="694"/>
        <w:gridCol w:w="6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398" w:hRule="atLeast"/>
        </w:trPr>
        <w:tc>
          <w:tcPr>
            <w:tcW w:w="8330" w:type="dxa"/>
            <w:gridSpan w:val="12"/>
            <w:tcBorders>
              <w:top w:val="single" w:color="FFFFFF" w:sz="4" w:space="0"/>
              <w:left w:val="single" w:color="FFFFFF" w:sz="4" w:space="0"/>
              <w:bottom w:val="single" w:color="FFFFFF" w:sz="4" w:space="0"/>
              <w:right w:val="single" w:color="FFFFFF" w:sz="4" w:space="0"/>
            </w:tcBorders>
            <w:shd w:val="clear"/>
            <w:noWrap/>
            <w:tcMar>
              <w:top w:w="12" w:type="dxa"/>
              <w:left w:w="12" w:type="dxa"/>
              <w:right w:w="12" w:type="dxa"/>
            </w:tcMar>
            <w:vAlign w:val="center"/>
          </w:tcPr>
          <w:p>
            <w:pPr>
              <w:keepNext w:val="0"/>
              <w:keepLines w:val="0"/>
              <w:widowControl/>
              <w:suppressLineNumbers w:val="0"/>
              <w:jc w:val="center"/>
              <w:textAlignment w:val="center"/>
              <w:rPr>
                <w:rFonts w:ascii="黑体" w:hAnsi="宋体" w:eastAsia="黑体" w:cs="黑体"/>
                <w:b/>
                <w:i w:val="0"/>
                <w:color w:val="000000"/>
                <w:sz w:val="32"/>
                <w:szCs w:val="32"/>
                <w:highlight w:val="none"/>
                <w:u w:val="none"/>
              </w:rPr>
            </w:pPr>
            <w:r>
              <w:rPr>
                <w:rFonts w:hint="eastAsia" w:ascii="黑体" w:hAnsi="宋体" w:eastAsia="黑体" w:cs="黑体"/>
                <w:b/>
                <w:i w:val="0"/>
                <w:color w:val="000000"/>
                <w:kern w:val="0"/>
                <w:sz w:val="32"/>
                <w:szCs w:val="32"/>
                <w:highlight w:val="none"/>
                <w:u w:val="none"/>
                <w:bdr w:val="none" w:color="auto" w:sz="0" w:space="0"/>
                <w:lang w:val="en-US" w:eastAsia="zh-CN" w:bidi="ar"/>
              </w:rPr>
              <w:t>政府性基金预算“三公”经费支出表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1" w:hRule="atLeast"/>
        </w:trPr>
        <w:tc>
          <w:tcPr>
            <w:tcW w:w="8330" w:type="dxa"/>
            <w:gridSpan w:val="12"/>
            <w:tcBorders>
              <w:top w:val="single" w:color="FFFFFF" w:sz="4" w:space="0"/>
              <w:left w:val="single" w:color="FFFFFF" w:sz="4" w:space="0"/>
              <w:bottom w:val="nil"/>
              <w:right w:val="single" w:color="FFFFFF" w:sz="4" w:space="0"/>
            </w:tcBorders>
            <w:shd w:val="clear"/>
            <w:tcMar>
              <w:top w:w="12" w:type="dxa"/>
              <w:left w:w="12" w:type="dxa"/>
              <w:right w:w="12" w:type="dxa"/>
            </w:tcMar>
            <w:vAlign w:val="center"/>
          </w:tcPr>
          <w:p>
            <w:pPr>
              <w:keepNext w:val="0"/>
              <w:keepLines w:val="0"/>
              <w:widowControl/>
              <w:suppressLineNumbers w:val="0"/>
              <w:jc w:val="right"/>
              <w:textAlignment w:val="center"/>
              <w:rPr>
                <w:rFonts w:ascii="宋体" w:hAnsi="宋体" w:eastAsia="宋体" w:cs="宋体"/>
                <w:i w:val="0"/>
                <w:color w:val="000000"/>
                <w:sz w:val="22"/>
                <w:szCs w:val="22"/>
                <w:highlight w:val="none"/>
                <w:u w:val="none"/>
              </w:rPr>
            </w:pPr>
            <w:r>
              <w:rPr>
                <w:rFonts w:ascii="宋体" w:hAnsi="宋体" w:eastAsia="宋体" w:cs="宋体"/>
                <w:i w:val="0"/>
                <w:color w:val="000000"/>
                <w:kern w:val="0"/>
                <w:sz w:val="22"/>
                <w:szCs w:val="22"/>
                <w:highlight w:val="none"/>
                <w:u w:val="none"/>
                <w:bdr w:val="none" w:color="auto" w:sz="0" w:space="0"/>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7" w:hRule="atLeast"/>
        </w:trPr>
        <w:tc>
          <w:tcPr>
            <w:tcW w:w="4165" w:type="dxa"/>
            <w:gridSpan w:val="6"/>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2023年预算数</w:t>
            </w:r>
          </w:p>
        </w:tc>
        <w:tc>
          <w:tcPr>
            <w:tcW w:w="4165" w:type="dxa"/>
            <w:gridSpan w:val="6"/>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2024年预算数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7" w:hRule="atLeast"/>
        </w:trPr>
        <w:tc>
          <w:tcPr>
            <w:tcW w:w="694" w:type="dxa"/>
            <w:vMerge w:val="restart"/>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合计</w:t>
            </w:r>
          </w:p>
        </w:tc>
        <w:tc>
          <w:tcPr>
            <w:tcW w:w="694" w:type="dxa"/>
            <w:vMerge w:val="restart"/>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因公出国</w:t>
            </w:r>
            <w:r>
              <w:rPr>
                <w:rFonts w:hint="eastAsia" w:ascii="宋体" w:hAnsi="宋体" w:eastAsia="宋体" w:cs="宋体"/>
                <w:b/>
                <w:i w:val="0"/>
                <w:color w:val="000000"/>
                <w:kern w:val="0"/>
                <w:sz w:val="22"/>
                <w:szCs w:val="22"/>
                <w:highlight w:val="none"/>
                <w:u w:val="none"/>
                <w:bdr w:val="none" w:color="auto" w:sz="0" w:space="0"/>
                <w:lang w:val="en-US" w:eastAsia="zh-CN" w:bidi="ar"/>
              </w:rPr>
              <w:br w:type="textWrapping"/>
            </w:r>
            <w:r>
              <w:rPr>
                <w:rFonts w:hint="eastAsia" w:ascii="宋体" w:hAnsi="宋体" w:eastAsia="宋体" w:cs="宋体"/>
                <w:b/>
                <w:i w:val="0"/>
                <w:color w:val="000000"/>
                <w:kern w:val="0"/>
                <w:sz w:val="22"/>
                <w:szCs w:val="22"/>
                <w:highlight w:val="none"/>
                <w:u w:val="none"/>
                <w:bdr w:val="none" w:color="auto" w:sz="0" w:space="0"/>
                <w:lang w:val="en-US" w:eastAsia="zh-CN" w:bidi="ar"/>
              </w:rPr>
              <w:t>（境）费用</w:t>
            </w:r>
          </w:p>
        </w:tc>
        <w:tc>
          <w:tcPr>
            <w:tcW w:w="2083" w:type="dxa"/>
            <w:gridSpan w:val="3"/>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公务用车购置及运行费</w:t>
            </w:r>
          </w:p>
        </w:tc>
        <w:tc>
          <w:tcPr>
            <w:tcW w:w="694" w:type="dxa"/>
            <w:vMerge w:val="restart"/>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公务接待费</w:t>
            </w:r>
          </w:p>
        </w:tc>
        <w:tc>
          <w:tcPr>
            <w:tcW w:w="694" w:type="dxa"/>
            <w:vMerge w:val="restart"/>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合计</w:t>
            </w:r>
          </w:p>
        </w:tc>
        <w:tc>
          <w:tcPr>
            <w:tcW w:w="694" w:type="dxa"/>
            <w:vMerge w:val="restart"/>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因公出国</w:t>
            </w:r>
            <w:r>
              <w:rPr>
                <w:rFonts w:hint="eastAsia" w:ascii="宋体" w:hAnsi="宋体" w:eastAsia="宋体" w:cs="宋体"/>
                <w:b/>
                <w:i w:val="0"/>
                <w:color w:val="000000"/>
                <w:kern w:val="0"/>
                <w:sz w:val="22"/>
                <w:szCs w:val="22"/>
                <w:highlight w:val="none"/>
                <w:u w:val="none"/>
                <w:bdr w:val="none" w:color="auto" w:sz="0" w:space="0"/>
                <w:lang w:val="en-US" w:eastAsia="zh-CN" w:bidi="ar"/>
              </w:rPr>
              <w:br w:type="textWrapping"/>
            </w:r>
            <w:r>
              <w:rPr>
                <w:rFonts w:hint="eastAsia" w:ascii="宋体" w:hAnsi="宋体" w:eastAsia="宋体" w:cs="宋体"/>
                <w:b/>
                <w:i w:val="0"/>
                <w:color w:val="000000"/>
                <w:kern w:val="0"/>
                <w:sz w:val="22"/>
                <w:szCs w:val="22"/>
                <w:highlight w:val="none"/>
                <w:u w:val="none"/>
                <w:bdr w:val="none" w:color="auto" w:sz="0" w:space="0"/>
                <w:lang w:val="en-US" w:eastAsia="zh-CN" w:bidi="ar"/>
              </w:rPr>
              <w:t>（境）费用</w:t>
            </w:r>
          </w:p>
        </w:tc>
        <w:tc>
          <w:tcPr>
            <w:tcW w:w="2083" w:type="dxa"/>
            <w:gridSpan w:val="3"/>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公务用车购置及运行费</w:t>
            </w:r>
          </w:p>
        </w:tc>
        <w:tc>
          <w:tcPr>
            <w:tcW w:w="694" w:type="dxa"/>
            <w:vMerge w:val="restart"/>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83" w:hRule="atLeast"/>
        </w:trPr>
        <w:tc>
          <w:tcPr>
            <w:tcW w:w="694" w:type="dxa"/>
            <w:vMerge w:val="continue"/>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jc w:val="center"/>
              <w:rPr>
                <w:rFonts w:hint="eastAsia" w:ascii="宋体" w:hAnsi="宋体" w:eastAsia="宋体" w:cs="宋体"/>
                <w:b/>
                <w:i w:val="0"/>
                <w:color w:val="000000"/>
                <w:sz w:val="22"/>
                <w:szCs w:val="22"/>
                <w:highlight w:val="none"/>
                <w:u w:val="none"/>
              </w:rPr>
            </w:pPr>
          </w:p>
        </w:tc>
        <w:tc>
          <w:tcPr>
            <w:tcW w:w="694" w:type="dxa"/>
            <w:vMerge w:val="continue"/>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jc w:val="center"/>
              <w:rPr>
                <w:rFonts w:hint="eastAsia" w:ascii="宋体" w:hAnsi="宋体" w:eastAsia="宋体" w:cs="宋体"/>
                <w:b/>
                <w:i w:val="0"/>
                <w:color w:val="000000"/>
                <w:sz w:val="22"/>
                <w:szCs w:val="22"/>
                <w:highlight w:val="none"/>
                <w:u w:val="none"/>
              </w:rPr>
            </w:pPr>
          </w:p>
        </w:tc>
        <w:tc>
          <w:tcPr>
            <w:tcW w:w="694" w:type="dxa"/>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小计</w:t>
            </w:r>
          </w:p>
        </w:tc>
        <w:tc>
          <w:tcPr>
            <w:tcW w:w="694" w:type="dxa"/>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公务用车</w:t>
            </w:r>
            <w:r>
              <w:rPr>
                <w:rFonts w:hint="eastAsia" w:ascii="宋体" w:hAnsi="宋体" w:eastAsia="宋体" w:cs="宋体"/>
                <w:b/>
                <w:i w:val="0"/>
                <w:color w:val="000000"/>
                <w:kern w:val="0"/>
                <w:sz w:val="22"/>
                <w:szCs w:val="22"/>
                <w:highlight w:val="none"/>
                <w:u w:val="none"/>
                <w:bdr w:val="none" w:color="auto" w:sz="0" w:space="0"/>
                <w:lang w:val="en-US" w:eastAsia="zh-CN" w:bidi="ar"/>
              </w:rPr>
              <w:br w:type="textWrapping"/>
            </w:r>
            <w:r>
              <w:rPr>
                <w:rFonts w:hint="eastAsia" w:ascii="宋体" w:hAnsi="宋体" w:eastAsia="宋体" w:cs="宋体"/>
                <w:b/>
                <w:i w:val="0"/>
                <w:color w:val="000000"/>
                <w:kern w:val="0"/>
                <w:sz w:val="22"/>
                <w:szCs w:val="22"/>
                <w:highlight w:val="none"/>
                <w:u w:val="none"/>
                <w:bdr w:val="none" w:color="auto" w:sz="0" w:space="0"/>
                <w:lang w:val="en-US" w:eastAsia="zh-CN" w:bidi="ar"/>
              </w:rPr>
              <w:t>购置费</w:t>
            </w:r>
          </w:p>
        </w:tc>
        <w:tc>
          <w:tcPr>
            <w:tcW w:w="695" w:type="dxa"/>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公务用车</w:t>
            </w:r>
            <w:r>
              <w:rPr>
                <w:rFonts w:hint="eastAsia" w:ascii="宋体" w:hAnsi="宋体" w:eastAsia="宋体" w:cs="宋体"/>
                <w:b/>
                <w:i w:val="0"/>
                <w:color w:val="000000"/>
                <w:kern w:val="0"/>
                <w:sz w:val="22"/>
                <w:szCs w:val="22"/>
                <w:highlight w:val="none"/>
                <w:u w:val="none"/>
                <w:bdr w:val="none" w:color="auto" w:sz="0" w:space="0"/>
                <w:lang w:val="en-US" w:eastAsia="zh-CN" w:bidi="ar"/>
              </w:rPr>
              <w:br w:type="textWrapping"/>
            </w:r>
            <w:r>
              <w:rPr>
                <w:rFonts w:hint="eastAsia" w:ascii="宋体" w:hAnsi="宋体" w:eastAsia="宋体" w:cs="宋体"/>
                <w:b/>
                <w:i w:val="0"/>
                <w:color w:val="000000"/>
                <w:kern w:val="0"/>
                <w:sz w:val="22"/>
                <w:szCs w:val="22"/>
                <w:highlight w:val="none"/>
                <w:u w:val="none"/>
                <w:bdr w:val="none" w:color="auto" w:sz="0" w:space="0"/>
                <w:lang w:val="en-US" w:eastAsia="zh-CN" w:bidi="ar"/>
              </w:rPr>
              <w:t>运行费</w:t>
            </w:r>
          </w:p>
        </w:tc>
        <w:tc>
          <w:tcPr>
            <w:tcW w:w="694" w:type="dxa"/>
            <w:vMerge w:val="continue"/>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jc w:val="center"/>
              <w:rPr>
                <w:rFonts w:hint="eastAsia" w:ascii="宋体" w:hAnsi="宋体" w:eastAsia="宋体" w:cs="宋体"/>
                <w:b/>
                <w:i w:val="0"/>
                <w:color w:val="000000"/>
                <w:sz w:val="22"/>
                <w:szCs w:val="22"/>
                <w:highlight w:val="none"/>
                <w:u w:val="none"/>
              </w:rPr>
            </w:pPr>
          </w:p>
        </w:tc>
        <w:tc>
          <w:tcPr>
            <w:tcW w:w="694" w:type="dxa"/>
            <w:vMerge w:val="continue"/>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jc w:val="center"/>
              <w:rPr>
                <w:rFonts w:hint="eastAsia" w:ascii="宋体" w:hAnsi="宋体" w:eastAsia="宋体" w:cs="宋体"/>
                <w:b/>
                <w:i w:val="0"/>
                <w:color w:val="000000"/>
                <w:sz w:val="22"/>
                <w:szCs w:val="22"/>
                <w:highlight w:val="none"/>
                <w:u w:val="none"/>
              </w:rPr>
            </w:pPr>
          </w:p>
        </w:tc>
        <w:tc>
          <w:tcPr>
            <w:tcW w:w="694" w:type="dxa"/>
            <w:vMerge w:val="continue"/>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jc w:val="center"/>
              <w:rPr>
                <w:rFonts w:hint="eastAsia" w:ascii="宋体" w:hAnsi="宋体" w:eastAsia="宋体" w:cs="宋体"/>
                <w:b/>
                <w:i w:val="0"/>
                <w:color w:val="000000"/>
                <w:sz w:val="22"/>
                <w:szCs w:val="22"/>
                <w:highlight w:val="none"/>
                <w:u w:val="none"/>
              </w:rPr>
            </w:pPr>
          </w:p>
        </w:tc>
        <w:tc>
          <w:tcPr>
            <w:tcW w:w="694" w:type="dxa"/>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小计</w:t>
            </w:r>
          </w:p>
        </w:tc>
        <w:tc>
          <w:tcPr>
            <w:tcW w:w="695" w:type="dxa"/>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公务用车</w:t>
            </w:r>
            <w:r>
              <w:rPr>
                <w:rFonts w:hint="eastAsia" w:ascii="宋体" w:hAnsi="宋体" w:eastAsia="宋体" w:cs="宋体"/>
                <w:b/>
                <w:i w:val="0"/>
                <w:color w:val="000000"/>
                <w:kern w:val="0"/>
                <w:sz w:val="22"/>
                <w:szCs w:val="22"/>
                <w:highlight w:val="none"/>
                <w:u w:val="none"/>
                <w:bdr w:val="none" w:color="auto" w:sz="0" w:space="0"/>
                <w:lang w:val="en-US" w:eastAsia="zh-CN" w:bidi="ar"/>
              </w:rPr>
              <w:br w:type="textWrapping"/>
            </w:r>
            <w:r>
              <w:rPr>
                <w:rFonts w:hint="eastAsia" w:ascii="宋体" w:hAnsi="宋体" w:eastAsia="宋体" w:cs="宋体"/>
                <w:b/>
                <w:i w:val="0"/>
                <w:color w:val="000000"/>
                <w:kern w:val="0"/>
                <w:sz w:val="22"/>
                <w:szCs w:val="22"/>
                <w:highlight w:val="none"/>
                <w:u w:val="none"/>
                <w:bdr w:val="none" w:color="auto" w:sz="0" w:space="0"/>
                <w:lang w:val="en-US" w:eastAsia="zh-CN" w:bidi="ar"/>
              </w:rPr>
              <w:t>购置费</w:t>
            </w:r>
          </w:p>
        </w:tc>
        <w:tc>
          <w:tcPr>
            <w:tcW w:w="694" w:type="dxa"/>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公务用车</w:t>
            </w:r>
            <w:r>
              <w:rPr>
                <w:rFonts w:hint="eastAsia" w:ascii="宋体" w:hAnsi="宋体" w:eastAsia="宋体" w:cs="宋体"/>
                <w:b/>
                <w:i w:val="0"/>
                <w:color w:val="000000"/>
                <w:kern w:val="0"/>
                <w:sz w:val="22"/>
                <w:szCs w:val="22"/>
                <w:highlight w:val="none"/>
                <w:u w:val="none"/>
                <w:bdr w:val="none" w:color="auto" w:sz="0" w:space="0"/>
                <w:lang w:val="en-US" w:eastAsia="zh-CN" w:bidi="ar"/>
              </w:rPr>
              <w:br w:type="textWrapping"/>
            </w:r>
            <w:r>
              <w:rPr>
                <w:rFonts w:hint="eastAsia" w:ascii="宋体" w:hAnsi="宋体" w:eastAsia="宋体" w:cs="宋体"/>
                <w:b/>
                <w:i w:val="0"/>
                <w:color w:val="000000"/>
                <w:kern w:val="0"/>
                <w:sz w:val="22"/>
                <w:szCs w:val="22"/>
                <w:highlight w:val="none"/>
                <w:u w:val="none"/>
                <w:bdr w:val="none" w:color="auto" w:sz="0" w:space="0"/>
                <w:lang w:val="en-US" w:eastAsia="zh-CN" w:bidi="ar"/>
              </w:rPr>
              <w:t>运行费</w:t>
            </w:r>
          </w:p>
        </w:tc>
        <w:tc>
          <w:tcPr>
            <w:tcW w:w="694" w:type="dxa"/>
            <w:vMerge w:val="continue"/>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jc w:val="center"/>
              <w:rPr>
                <w:rFonts w:hint="eastAsia" w:ascii="宋体" w:hAnsi="宋体" w:eastAsia="宋体" w:cs="宋体"/>
                <w:b/>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694"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694"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694"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694"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695"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694"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694"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694"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694"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695"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694"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694"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70" w:hRule="atLeast"/>
        </w:trPr>
        <w:tc>
          <w:tcPr>
            <w:tcW w:w="694" w:type="dxa"/>
            <w:tcBorders>
              <w:top w:val="nil"/>
              <w:left w:val="single" w:color="FFFFFF" w:sz="4" w:space="0"/>
              <w:bottom w:val="single" w:color="FFFFFF" w:sz="4" w:space="0"/>
              <w:right w:val="single" w:color="FFFFFF" w:sz="4" w:space="0"/>
            </w:tcBorders>
            <w:shd w:val="clear"/>
            <w:tcMar>
              <w:top w:w="12" w:type="dxa"/>
              <w:left w:w="12" w:type="dxa"/>
              <w:right w:w="12" w:type="dxa"/>
            </w:tcMar>
            <w:vAlign w:val="center"/>
          </w:tcPr>
          <w:p>
            <w:pPr>
              <w:rPr>
                <w:rFonts w:hint="eastAsia" w:ascii="宋体" w:hAnsi="宋体" w:eastAsia="宋体" w:cs="宋体"/>
                <w:i w:val="0"/>
                <w:color w:val="000000"/>
                <w:sz w:val="20"/>
                <w:szCs w:val="20"/>
                <w:highlight w:val="none"/>
                <w:u w:val="none"/>
              </w:rPr>
            </w:pPr>
          </w:p>
        </w:tc>
        <w:tc>
          <w:tcPr>
            <w:tcW w:w="694" w:type="dxa"/>
            <w:tcBorders>
              <w:top w:val="nil"/>
              <w:left w:val="single" w:color="FFFFFF" w:sz="4" w:space="0"/>
              <w:bottom w:val="single" w:color="FFFFFF" w:sz="4" w:space="0"/>
              <w:right w:val="single" w:color="FFFFFF" w:sz="4" w:space="0"/>
            </w:tcBorders>
            <w:shd w:val="clear"/>
            <w:tcMar>
              <w:top w:w="12" w:type="dxa"/>
              <w:left w:w="12" w:type="dxa"/>
              <w:right w:w="12" w:type="dxa"/>
            </w:tcMar>
            <w:vAlign w:val="center"/>
          </w:tcPr>
          <w:p>
            <w:pPr>
              <w:rPr>
                <w:rFonts w:hint="eastAsia" w:ascii="宋体" w:hAnsi="宋体" w:eastAsia="宋体" w:cs="宋体"/>
                <w:i w:val="0"/>
                <w:color w:val="000000"/>
                <w:sz w:val="20"/>
                <w:szCs w:val="20"/>
                <w:highlight w:val="none"/>
                <w:u w:val="none"/>
              </w:rPr>
            </w:pPr>
          </w:p>
        </w:tc>
        <w:tc>
          <w:tcPr>
            <w:tcW w:w="694" w:type="dxa"/>
            <w:tcBorders>
              <w:top w:val="nil"/>
              <w:left w:val="single" w:color="FFFFFF" w:sz="4" w:space="0"/>
              <w:bottom w:val="single" w:color="FFFFFF" w:sz="4" w:space="0"/>
              <w:right w:val="single" w:color="FFFFFF" w:sz="4" w:space="0"/>
            </w:tcBorders>
            <w:shd w:val="clear"/>
            <w:tcMar>
              <w:top w:w="12" w:type="dxa"/>
              <w:left w:w="12" w:type="dxa"/>
              <w:right w:w="12" w:type="dxa"/>
            </w:tcMar>
            <w:vAlign w:val="center"/>
          </w:tcPr>
          <w:p>
            <w:pPr>
              <w:rPr>
                <w:rFonts w:hint="eastAsia" w:ascii="宋体" w:hAnsi="宋体" w:eastAsia="宋体" w:cs="宋体"/>
                <w:i w:val="0"/>
                <w:color w:val="000000"/>
                <w:sz w:val="20"/>
                <w:szCs w:val="20"/>
                <w:highlight w:val="none"/>
                <w:u w:val="none"/>
              </w:rPr>
            </w:pPr>
          </w:p>
        </w:tc>
        <w:tc>
          <w:tcPr>
            <w:tcW w:w="694" w:type="dxa"/>
            <w:tcBorders>
              <w:top w:val="nil"/>
              <w:left w:val="single" w:color="FFFFFF" w:sz="4" w:space="0"/>
              <w:bottom w:val="single" w:color="FFFFFF" w:sz="4" w:space="0"/>
              <w:right w:val="single" w:color="FFFFFF" w:sz="4" w:space="0"/>
            </w:tcBorders>
            <w:shd w:val="clear"/>
            <w:tcMar>
              <w:top w:w="12" w:type="dxa"/>
              <w:left w:w="12" w:type="dxa"/>
              <w:right w:w="12" w:type="dxa"/>
            </w:tcMar>
            <w:vAlign w:val="center"/>
          </w:tcPr>
          <w:p>
            <w:pPr>
              <w:rPr>
                <w:rFonts w:hint="eastAsia" w:ascii="宋体" w:hAnsi="宋体" w:eastAsia="宋体" w:cs="宋体"/>
                <w:i w:val="0"/>
                <w:color w:val="000000"/>
                <w:sz w:val="20"/>
                <w:szCs w:val="20"/>
                <w:highlight w:val="none"/>
                <w:u w:val="none"/>
              </w:rPr>
            </w:pPr>
          </w:p>
        </w:tc>
        <w:tc>
          <w:tcPr>
            <w:tcW w:w="695" w:type="dxa"/>
            <w:tcBorders>
              <w:top w:val="nil"/>
              <w:left w:val="single" w:color="FFFFFF" w:sz="4" w:space="0"/>
              <w:bottom w:val="single" w:color="FFFFFF" w:sz="4" w:space="0"/>
              <w:right w:val="single" w:color="FFFFFF" w:sz="4" w:space="0"/>
            </w:tcBorders>
            <w:shd w:val="clear"/>
            <w:tcMar>
              <w:top w:w="12" w:type="dxa"/>
              <w:left w:w="12" w:type="dxa"/>
              <w:right w:w="12" w:type="dxa"/>
            </w:tcMar>
            <w:vAlign w:val="center"/>
          </w:tcPr>
          <w:p>
            <w:pPr>
              <w:rPr>
                <w:rFonts w:hint="eastAsia" w:ascii="宋体" w:hAnsi="宋体" w:eastAsia="宋体" w:cs="宋体"/>
                <w:i w:val="0"/>
                <w:color w:val="000000"/>
                <w:sz w:val="20"/>
                <w:szCs w:val="20"/>
                <w:highlight w:val="none"/>
                <w:u w:val="none"/>
              </w:rPr>
            </w:pPr>
          </w:p>
        </w:tc>
        <w:tc>
          <w:tcPr>
            <w:tcW w:w="694" w:type="dxa"/>
            <w:tcBorders>
              <w:top w:val="nil"/>
              <w:left w:val="single" w:color="FFFFFF" w:sz="4" w:space="0"/>
              <w:bottom w:val="single" w:color="FFFFFF" w:sz="4" w:space="0"/>
              <w:right w:val="single" w:color="FFFFFF" w:sz="4" w:space="0"/>
            </w:tcBorders>
            <w:shd w:val="clear"/>
            <w:tcMar>
              <w:top w:w="12" w:type="dxa"/>
              <w:left w:w="12" w:type="dxa"/>
              <w:right w:w="12" w:type="dxa"/>
            </w:tcMar>
            <w:vAlign w:val="center"/>
          </w:tcPr>
          <w:p>
            <w:pPr>
              <w:rPr>
                <w:rFonts w:hint="eastAsia" w:ascii="宋体" w:hAnsi="宋体" w:eastAsia="宋体" w:cs="宋体"/>
                <w:i w:val="0"/>
                <w:color w:val="000000"/>
                <w:sz w:val="20"/>
                <w:szCs w:val="20"/>
                <w:highlight w:val="none"/>
                <w:u w:val="none"/>
              </w:rPr>
            </w:pPr>
          </w:p>
        </w:tc>
        <w:tc>
          <w:tcPr>
            <w:tcW w:w="694" w:type="dxa"/>
            <w:tcBorders>
              <w:top w:val="nil"/>
              <w:left w:val="single" w:color="FFFFFF" w:sz="4" w:space="0"/>
              <w:bottom w:val="single" w:color="FFFFFF" w:sz="4" w:space="0"/>
              <w:right w:val="single" w:color="FFFFFF" w:sz="4" w:space="0"/>
            </w:tcBorders>
            <w:shd w:val="clear"/>
            <w:tcMar>
              <w:top w:w="12" w:type="dxa"/>
              <w:left w:w="12" w:type="dxa"/>
              <w:right w:w="12" w:type="dxa"/>
            </w:tcMar>
            <w:vAlign w:val="center"/>
          </w:tcPr>
          <w:p>
            <w:pPr>
              <w:rPr>
                <w:rFonts w:hint="eastAsia" w:ascii="宋体" w:hAnsi="宋体" w:eastAsia="宋体" w:cs="宋体"/>
                <w:i w:val="0"/>
                <w:color w:val="000000"/>
                <w:sz w:val="20"/>
                <w:szCs w:val="20"/>
                <w:highlight w:val="none"/>
                <w:u w:val="none"/>
              </w:rPr>
            </w:pPr>
          </w:p>
        </w:tc>
        <w:tc>
          <w:tcPr>
            <w:tcW w:w="694" w:type="dxa"/>
            <w:tcBorders>
              <w:top w:val="nil"/>
              <w:left w:val="single" w:color="FFFFFF" w:sz="4" w:space="0"/>
              <w:bottom w:val="single" w:color="FFFFFF" w:sz="4" w:space="0"/>
              <w:right w:val="single" w:color="FFFFFF" w:sz="4" w:space="0"/>
            </w:tcBorders>
            <w:shd w:val="clear"/>
            <w:tcMar>
              <w:top w:w="12" w:type="dxa"/>
              <w:left w:w="12" w:type="dxa"/>
              <w:right w:w="12" w:type="dxa"/>
            </w:tcMar>
            <w:vAlign w:val="center"/>
          </w:tcPr>
          <w:p>
            <w:pPr>
              <w:rPr>
                <w:rFonts w:hint="eastAsia" w:ascii="宋体" w:hAnsi="宋体" w:eastAsia="宋体" w:cs="宋体"/>
                <w:i w:val="0"/>
                <w:color w:val="000000"/>
                <w:sz w:val="20"/>
                <w:szCs w:val="20"/>
                <w:highlight w:val="none"/>
                <w:u w:val="none"/>
              </w:rPr>
            </w:pPr>
          </w:p>
        </w:tc>
        <w:tc>
          <w:tcPr>
            <w:tcW w:w="694" w:type="dxa"/>
            <w:tcBorders>
              <w:top w:val="nil"/>
              <w:left w:val="single" w:color="FFFFFF" w:sz="4" w:space="0"/>
              <w:bottom w:val="single" w:color="FFFFFF" w:sz="4" w:space="0"/>
              <w:right w:val="single" w:color="FFFFFF" w:sz="4" w:space="0"/>
            </w:tcBorders>
            <w:shd w:val="clear"/>
            <w:tcMar>
              <w:top w:w="12" w:type="dxa"/>
              <w:left w:w="12" w:type="dxa"/>
              <w:right w:w="12" w:type="dxa"/>
            </w:tcMar>
            <w:vAlign w:val="center"/>
          </w:tcPr>
          <w:p>
            <w:pPr>
              <w:rPr>
                <w:rFonts w:hint="eastAsia" w:ascii="宋体" w:hAnsi="宋体" w:eastAsia="宋体" w:cs="宋体"/>
                <w:i w:val="0"/>
                <w:color w:val="000000"/>
                <w:sz w:val="20"/>
                <w:szCs w:val="20"/>
                <w:highlight w:val="none"/>
                <w:u w:val="none"/>
              </w:rPr>
            </w:pPr>
          </w:p>
        </w:tc>
        <w:tc>
          <w:tcPr>
            <w:tcW w:w="695" w:type="dxa"/>
            <w:tcBorders>
              <w:top w:val="nil"/>
              <w:left w:val="single" w:color="FFFFFF" w:sz="4" w:space="0"/>
              <w:bottom w:val="single" w:color="FFFFFF" w:sz="4" w:space="0"/>
              <w:right w:val="single" w:color="FFFFFF" w:sz="4" w:space="0"/>
            </w:tcBorders>
            <w:shd w:val="clear"/>
            <w:tcMar>
              <w:top w:w="12" w:type="dxa"/>
              <w:left w:w="12" w:type="dxa"/>
              <w:right w:w="12" w:type="dxa"/>
            </w:tcMar>
            <w:vAlign w:val="center"/>
          </w:tcPr>
          <w:p>
            <w:pPr>
              <w:rPr>
                <w:rFonts w:hint="eastAsia" w:ascii="宋体" w:hAnsi="宋体" w:eastAsia="宋体" w:cs="宋体"/>
                <w:i w:val="0"/>
                <w:color w:val="000000"/>
                <w:sz w:val="20"/>
                <w:szCs w:val="20"/>
                <w:highlight w:val="none"/>
                <w:u w:val="none"/>
              </w:rPr>
            </w:pPr>
          </w:p>
        </w:tc>
        <w:tc>
          <w:tcPr>
            <w:tcW w:w="694" w:type="dxa"/>
            <w:tcBorders>
              <w:top w:val="nil"/>
              <w:left w:val="single" w:color="FFFFFF" w:sz="4" w:space="0"/>
              <w:bottom w:val="single" w:color="FFFFFF" w:sz="4" w:space="0"/>
              <w:right w:val="single" w:color="FFFFFF" w:sz="4" w:space="0"/>
            </w:tcBorders>
            <w:shd w:val="clear"/>
            <w:tcMar>
              <w:top w:w="12" w:type="dxa"/>
              <w:left w:w="12" w:type="dxa"/>
              <w:right w:w="12" w:type="dxa"/>
            </w:tcMar>
            <w:vAlign w:val="center"/>
          </w:tcPr>
          <w:p>
            <w:pPr>
              <w:rPr>
                <w:rFonts w:hint="eastAsia" w:ascii="宋体" w:hAnsi="宋体" w:eastAsia="宋体" w:cs="宋体"/>
                <w:i w:val="0"/>
                <w:color w:val="000000"/>
                <w:sz w:val="20"/>
                <w:szCs w:val="20"/>
                <w:highlight w:val="none"/>
                <w:u w:val="none"/>
              </w:rPr>
            </w:pPr>
          </w:p>
        </w:tc>
        <w:tc>
          <w:tcPr>
            <w:tcW w:w="694" w:type="dxa"/>
            <w:tcBorders>
              <w:top w:val="nil"/>
              <w:left w:val="single" w:color="FFFFFF" w:sz="4" w:space="0"/>
              <w:bottom w:val="single" w:color="FFFFFF" w:sz="4" w:space="0"/>
              <w:right w:val="single" w:color="FFFFFF" w:sz="4" w:space="0"/>
            </w:tcBorders>
            <w:shd w:val="clear"/>
            <w:tcMar>
              <w:top w:w="12" w:type="dxa"/>
              <w:left w:w="12" w:type="dxa"/>
              <w:right w:w="12" w:type="dxa"/>
            </w:tcMar>
            <w:vAlign w:val="center"/>
          </w:tcPr>
          <w:p>
            <w:pPr>
              <w:rPr>
                <w:rFonts w:hint="eastAsia" w:ascii="宋体" w:hAnsi="宋体" w:eastAsia="宋体" w:cs="宋体"/>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1" w:hRule="atLeast"/>
        </w:trPr>
        <w:tc>
          <w:tcPr>
            <w:tcW w:w="8330" w:type="dxa"/>
            <w:gridSpan w:val="12"/>
            <w:tcBorders>
              <w:top w:val="single" w:color="FFFFFF" w:sz="4" w:space="0"/>
              <w:left w:val="single" w:color="FFFFFF" w:sz="4" w:space="0"/>
              <w:bottom w:val="nil"/>
              <w:right w:val="single" w:color="FFFFFF" w:sz="4" w:space="0"/>
            </w:tcBorders>
            <w:shd w:val="clear"/>
            <w:tcMar>
              <w:top w:w="12" w:type="dxa"/>
              <w:left w:w="12" w:type="dxa"/>
              <w:right w:w="12" w:type="dxa"/>
            </w:tcMar>
            <w:vAlign w:val="center"/>
          </w:tcPr>
          <w:p>
            <w:pPr>
              <w:keepNext w:val="0"/>
              <w:keepLines w:val="0"/>
              <w:widowControl/>
              <w:suppressLineNumbers w:val="0"/>
              <w:jc w:val="left"/>
              <w:textAlignment w:val="center"/>
              <w:rPr>
                <w:rFonts w:ascii="宋体" w:hAnsi="宋体" w:eastAsia="宋体" w:cs="宋体"/>
                <w:i w:val="0"/>
                <w:color w:val="000000"/>
                <w:sz w:val="20"/>
                <w:szCs w:val="20"/>
                <w:highlight w:val="none"/>
                <w:u w:val="none"/>
              </w:rPr>
            </w:pPr>
            <w:r>
              <w:rPr>
                <w:rFonts w:ascii="宋体" w:hAnsi="宋体" w:eastAsia="宋体" w:cs="宋体"/>
                <w:i w:val="0"/>
                <w:color w:val="000000"/>
                <w:kern w:val="0"/>
                <w:sz w:val="20"/>
                <w:szCs w:val="20"/>
                <w:highlight w:val="none"/>
                <w:u w:val="none"/>
                <w:bdr w:val="none" w:color="auto" w:sz="0" w:space="0"/>
                <w:lang w:val="en-US" w:eastAsia="zh-CN" w:bidi="ar"/>
              </w:rPr>
              <w:t>取数说明：取数口径不包含指标类型31、32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8330" w:type="dxa"/>
            <w:gridSpan w:val="12"/>
            <w:tcBorders>
              <w:top w:val="nil"/>
              <w:left w:val="nil"/>
              <w:bottom w:val="nil"/>
              <w:right w:val="nil"/>
            </w:tcBorders>
            <w:shd w:val="clear"/>
            <w:noWrap/>
            <w:tcMar>
              <w:top w:w="12" w:type="dxa"/>
              <w:left w:w="12" w:type="dxa"/>
              <w:right w:w="12" w:type="dxa"/>
            </w:tcMar>
            <w:vAlign w:val="center"/>
          </w:tcPr>
          <w:p>
            <w:pP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0"/>
                <w:szCs w:val="20"/>
                <w:highlight w:val="none"/>
                <w:u w:val="none"/>
                <w:bdr w:val="none" w:color="auto" w:sz="0" w:space="0"/>
                <w:lang w:val="en-US" w:eastAsia="zh-CN" w:bidi="ar"/>
              </w:rPr>
              <w:t>此项目无预算，此表为空</w:t>
            </w:r>
          </w:p>
        </w:tc>
      </w:tr>
    </w:tbl>
    <w:p>
      <w:pPr>
        <w:pStyle w:val="7"/>
        <w:numPr>
          <w:ilvl w:val="0"/>
          <w:numId w:val="0"/>
        </w:numPr>
        <w:rPr>
          <w:rFonts w:hint="eastAsia" w:ascii="宋体" w:hAnsi="宋体" w:eastAsia="宋体" w:cs="宋体"/>
          <w:i w:val="0"/>
          <w:color w:val="000000"/>
          <w:kern w:val="0"/>
          <w:sz w:val="20"/>
          <w:szCs w:val="20"/>
          <w:highlight w:val="none"/>
          <w:u w:val="none"/>
          <w:lang w:val="en-US" w:eastAsia="zh-CN" w:bidi="ar"/>
        </w:rPr>
      </w:pPr>
    </w:p>
    <w:p>
      <w:pPr>
        <w:pStyle w:val="7"/>
        <w:numPr>
          <w:ilvl w:val="0"/>
          <w:numId w:val="0"/>
        </w:numPr>
        <w:ind w:leftChars="200"/>
        <w:rPr>
          <w:rFonts w:hint="eastAsia" w:ascii="黑体" w:hAnsi="黑体" w:eastAsia="黑体" w:cs="黑体"/>
          <w:sz w:val="30"/>
          <w:szCs w:val="30"/>
          <w:highlight w:val="none"/>
          <w:lang w:eastAsia="zh-CN"/>
        </w:rPr>
      </w:pPr>
    </w:p>
    <w:p>
      <w:pPr>
        <w:pStyle w:val="7"/>
        <w:numPr>
          <w:ilvl w:val="0"/>
          <w:numId w:val="0"/>
        </w:numPr>
        <w:ind w:leftChars="200"/>
        <w:rPr>
          <w:rFonts w:hint="eastAsia" w:ascii="黑体" w:hAnsi="黑体" w:eastAsia="黑体" w:cs="黑体"/>
          <w:sz w:val="30"/>
          <w:szCs w:val="30"/>
          <w:highlight w:val="none"/>
        </w:rPr>
      </w:pPr>
      <w:r>
        <w:rPr>
          <w:rFonts w:hint="eastAsia" w:ascii="黑体" w:hAnsi="黑体" w:eastAsia="黑体" w:cs="黑体"/>
          <w:sz w:val="30"/>
          <w:szCs w:val="30"/>
          <w:highlight w:val="none"/>
          <w:lang w:eastAsia="zh-CN"/>
        </w:rPr>
        <w:t>七、</w:t>
      </w:r>
      <w:r>
        <w:rPr>
          <w:rFonts w:hint="eastAsia" w:ascii="黑体" w:hAnsi="黑体" w:eastAsia="黑体" w:cs="黑体"/>
          <w:sz w:val="30"/>
          <w:szCs w:val="30"/>
          <w:highlight w:val="none"/>
        </w:rPr>
        <w:t>部门（单位）收支总表</w:t>
      </w:r>
    </w:p>
    <w:tbl>
      <w:tblPr>
        <w:tblW w:w="83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2735"/>
        <w:gridCol w:w="1130"/>
        <w:gridCol w:w="2737"/>
        <w:gridCol w:w="17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398" w:hRule="atLeast"/>
        </w:trPr>
        <w:tc>
          <w:tcPr>
            <w:tcW w:w="8330" w:type="dxa"/>
            <w:gridSpan w:val="4"/>
            <w:tcBorders>
              <w:top w:val="single" w:color="FFFFFF" w:sz="4" w:space="0"/>
              <w:left w:val="single" w:color="FFFFFF" w:sz="4" w:space="0"/>
              <w:bottom w:val="single" w:color="FFFFFF" w:sz="4" w:space="0"/>
              <w:right w:val="single" w:color="FFFFFF" w:sz="4" w:space="0"/>
            </w:tcBorders>
            <w:shd w:val="clear"/>
            <w:noWrap/>
            <w:tcMar>
              <w:top w:w="12" w:type="dxa"/>
              <w:left w:w="12" w:type="dxa"/>
              <w:right w:w="12" w:type="dxa"/>
            </w:tcMar>
            <w:vAlign w:val="center"/>
          </w:tcPr>
          <w:p>
            <w:pPr>
              <w:keepNext w:val="0"/>
              <w:keepLines w:val="0"/>
              <w:widowControl/>
              <w:suppressLineNumbers w:val="0"/>
              <w:jc w:val="center"/>
              <w:textAlignment w:val="center"/>
              <w:rPr>
                <w:rFonts w:ascii="黑体" w:hAnsi="宋体" w:eastAsia="黑体" w:cs="黑体"/>
                <w:b/>
                <w:i w:val="0"/>
                <w:color w:val="000000"/>
                <w:sz w:val="32"/>
                <w:szCs w:val="32"/>
                <w:highlight w:val="none"/>
                <w:u w:val="none"/>
              </w:rPr>
            </w:pPr>
            <w:r>
              <w:rPr>
                <w:rFonts w:hint="eastAsia" w:ascii="黑体" w:hAnsi="宋体" w:eastAsia="黑体" w:cs="黑体"/>
                <w:b/>
                <w:i w:val="0"/>
                <w:color w:val="000000"/>
                <w:kern w:val="0"/>
                <w:sz w:val="32"/>
                <w:szCs w:val="32"/>
                <w:highlight w:val="none"/>
                <w:u w:val="none"/>
                <w:bdr w:val="none" w:color="auto" w:sz="0" w:space="0"/>
                <w:lang w:val="en-US" w:eastAsia="zh-CN" w:bidi="ar"/>
              </w:rPr>
              <w:t>部门收支总表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1" w:hRule="atLeast"/>
        </w:trPr>
        <w:tc>
          <w:tcPr>
            <w:tcW w:w="2735" w:type="dxa"/>
            <w:tcBorders>
              <w:top w:val="single" w:color="FFFFFF" w:sz="4" w:space="0"/>
              <w:left w:val="single" w:color="FFFFFF" w:sz="4" w:space="0"/>
              <w:bottom w:val="nil"/>
              <w:right w:val="single" w:color="FFFFFF" w:sz="4" w:space="0"/>
            </w:tcBorders>
            <w:shd w:val="clear"/>
            <w:noWrap/>
            <w:tcMar>
              <w:top w:w="12" w:type="dxa"/>
              <w:left w:w="12" w:type="dxa"/>
              <w:right w:w="12" w:type="dxa"/>
            </w:tcMar>
            <w:vAlign w:val="center"/>
          </w:tcPr>
          <w:p>
            <w:pPr>
              <w:rPr>
                <w:rFonts w:hint="eastAsia" w:ascii="宋体" w:hAnsi="宋体" w:eastAsia="宋体" w:cs="宋体"/>
                <w:i w:val="0"/>
                <w:color w:val="000000"/>
                <w:sz w:val="22"/>
                <w:szCs w:val="22"/>
                <w:highlight w:val="none"/>
                <w:u w:val="none"/>
              </w:rPr>
            </w:pPr>
          </w:p>
        </w:tc>
        <w:tc>
          <w:tcPr>
            <w:tcW w:w="1130" w:type="dxa"/>
            <w:tcBorders>
              <w:top w:val="single" w:color="FFFFFF" w:sz="4" w:space="0"/>
              <w:left w:val="single" w:color="FFFFFF" w:sz="4" w:space="0"/>
              <w:bottom w:val="nil"/>
              <w:right w:val="single" w:color="FFFFFF" w:sz="4" w:space="0"/>
            </w:tcBorders>
            <w:shd w:val="clear"/>
            <w:noWrap/>
            <w:tcMar>
              <w:top w:w="12" w:type="dxa"/>
              <w:left w:w="12" w:type="dxa"/>
              <w:right w:w="12" w:type="dxa"/>
            </w:tcMar>
            <w:vAlign w:val="center"/>
          </w:tcPr>
          <w:p>
            <w:pPr>
              <w:rPr>
                <w:rFonts w:hint="eastAsia" w:ascii="宋体" w:hAnsi="宋体" w:eastAsia="宋体" w:cs="宋体"/>
                <w:i w:val="0"/>
                <w:color w:val="000000"/>
                <w:sz w:val="22"/>
                <w:szCs w:val="22"/>
                <w:highlight w:val="none"/>
                <w:u w:val="none"/>
              </w:rPr>
            </w:pPr>
          </w:p>
        </w:tc>
        <w:tc>
          <w:tcPr>
            <w:tcW w:w="2737" w:type="dxa"/>
            <w:tcBorders>
              <w:top w:val="single" w:color="FFFFFF" w:sz="4" w:space="0"/>
              <w:left w:val="single" w:color="FFFFFF" w:sz="4" w:space="0"/>
              <w:bottom w:val="nil"/>
              <w:right w:val="single" w:color="FFFFFF" w:sz="4" w:space="0"/>
            </w:tcBorders>
            <w:shd w:val="clear"/>
            <w:noWrap/>
            <w:tcMar>
              <w:top w:w="12" w:type="dxa"/>
              <w:left w:w="12" w:type="dxa"/>
              <w:right w:w="12" w:type="dxa"/>
            </w:tcMar>
            <w:vAlign w:val="center"/>
          </w:tcPr>
          <w:p>
            <w:pPr>
              <w:rPr>
                <w:rFonts w:hint="eastAsia" w:ascii="宋体" w:hAnsi="宋体" w:eastAsia="宋体" w:cs="宋体"/>
                <w:i w:val="0"/>
                <w:color w:val="000000"/>
                <w:sz w:val="22"/>
                <w:szCs w:val="22"/>
                <w:highlight w:val="none"/>
                <w:u w:val="none"/>
              </w:rPr>
            </w:pPr>
          </w:p>
        </w:tc>
        <w:tc>
          <w:tcPr>
            <w:tcW w:w="1728" w:type="dxa"/>
            <w:tcBorders>
              <w:top w:val="single" w:color="FFFFFF" w:sz="4" w:space="0"/>
              <w:left w:val="single" w:color="FFFFFF" w:sz="4" w:space="0"/>
              <w:bottom w:val="nil"/>
              <w:right w:val="single" w:color="FFFFFF"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7" w:hRule="atLeast"/>
        </w:trPr>
        <w:tc>
          <w:tcPr>
            <w:tcW w:w="3865" w:type="dxa"/>
            <w:gridSpan w:val="2"/>
            <w:tcBorders>
              <w:top w:val="single" w:color="C0C0C0" w:sz="4" w:space="0"/>
              <w:left w:val="single" w:color="C0C0C0" w:sz="4" w:space="0"/>
              <w:bottom w:val="single" w:color="C0C0C0" w:sz="4" w:space="0"/>
              <w:right w:val="single" w:color="C0C0C0" w:sz="4" w:space="0"/>
            </w:tcBorders>
            <w:shd w:val="clear" w:color="EFF2F7" w:fill="EFF2F7"/>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收    入</w:t>
            </w:r>
          </w:p>
        </w:tc>
        <w:tc>
          <w:tcPr>
            <w:tcW w:w="4465" w:type="dxa"/>
            <w:gridSpan w:val="2"/>
            <w:tcBorders>
              <w:top w:val="single" w:color="C0C0C0" w:sz="4" w:space="0"/>
              <w:left w:val="single" w:color="C0C0C0" w:sz="4" w:space="0"/>
              <w:bottom w:val="single" w:color="C0C0C0" w:sz="4" w:space="0"/>
              <w:right w:val="single" w:color="C0C0C0" w:sz="4" w:space="0"/>
            </w:tcBorders>
            <w:shd w:val="clear" w:color="EFF2F7" w:fill="EFF2F7"/>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7" w:hRule="atLeast"/>
        </w:trPr>
        <w:tc>
          <w:tcPr>
            <w:tcW w:w="2735" w:type="dxa"/>
            <w:tcBorders>
              <w:top w:val="single" w:color="C0C0C0" w:sz="4" w:space="0"/>
              <w:left w:val="single" w:color="C0C0C0" w:sz="4" w:space="0"/>
              <w:bottom w:val="single" w:color="C0C0C0" w:sz="4" w:space="0"/>
              <w:right w:val="single" w:color="C0C0C0" w:sz="4" w:space="0"/>
            </w:tcBorders>
            <w:shd w:val="clear" w:color="EFF2F7" w:fill="EFF2F7"/>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项    目</w:t>
            </w:r>
          </w:p>
        </w:tc>
        <w:tc>
          <w:tcPr>
            <w:tcW w:w="1130" w:type="dxa"/>
            <w:tcBorders>
              <w:top w:val="single" w:color="C0C0C0" w:sz="4" w:space="0"/>
              <w:left w:val="single" w:color="C0C0C0" w:sz="4" w:space="0"/>
              <w:bottom w:val="single" w:color="C0C0C0" w:sz="4" w:space="0"/>
              <w:right w:val="single" w:color="C0C0C0" w:sz="4" w:space="0"/>
            </w:tcBorders>
            <w:shd w:val="clear" w:color="EFF2F7" w:fill="EFF2F7"/>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预算数</w:t>
            </w:r>
          </w:p>
        </w:tc>
        <w:tc>
          <w:tcPr>
            <w:tcW w:w="2737" w:type="dxa"/>
            <w:tcBorders>
              <w:top w:val="single" w:color="C0C0C0" w:sz="4" w:space="0"/>
              <w:left w:val="single" w:color="C0C0C0" w:sz="4" w:space="0"/>
              <w:bottom w:val="single" w:color="C0C0C0" w:sz="4" w:space="0"/>
              <w:right w:val="single" w:color="C0C0C0" w:sz="4" w:space="0"/>
            </w:tcBorders>
            <w:shd w:val="clear" w:color="EFF2F7" w:fill="EFF2F7"/>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项    目</w:t>
            </w:r>
          </w:p>
        </w:tc>
        <w:tc>
          <w:tcPr>
            <w:tcW w:w="1728" w:type="dxa"/>
            <w:tcBorders>
              <w:top w:val="single" w:color="C0C0C0" w:sz="4" w:space="0"/>
              <w:left w:val="single" w:color="C0C0C0" w:sz="4" w:space="0"/>
              <w:bottom w:val="single" w:color="C0C0C0" w:sz="4" w:space="0"/>
              <w:right w:val="single" w:color="C0C0C0" w:sz="4" w:space="0"/>
            </w:tcBorders>
            <w:shd w:val="clear" w:color="EFF2F7" w:fill="EFF2F7"/>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2735"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一、一般公共预算拨款收入</w:t>
            </w:r>
          </w:p>
        </w:tc>
        <w:tc>
          <w:tcPr>
            <w:tcW w:w="113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27,987.59</w:t>
            </w:r>
          </w:p>
        </w:tc>
        <w:tc>
          <w:tcPr>
            <w:tcW w:w="2737"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一、一般公共服务支出</w:t>
            </w:r>
          </w:p>
        </w:tc>
        <w:tc>
          <w:tcPr>
            <w:tcW w:w="1728"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2735"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二、政府性基金预算拨款收入</w:t>
            </w:r>
          </w:p>
        </w:tc>
        <w:tc>
          <w:tcPr>
            <w:tcW w:w="113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2737"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二、外交支出</w:t>
            </w:r>
          </w:p>
        </w:tc>
        <w:tc>
          <w:tcPr>
            <w:tcW w:w="1728"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2735"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三、国有资本经营预算拨款收入</w:t>
            </w:r>
          </w:p>
        </w:tc>
        <w:tc>
          <w:tcPr>
            <w:tcW w:w="113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2737"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三、国防支出</w:t>
            </w:r>
          </w:p>
        </w:tc>
        <w:tc>
          <w:tcPr>
            <w:tcW w:w="1728"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2735"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四、财政专户管理资金收入</w:t>
            </w:r>
          </w:p>
        </w:tc>
        <w:tc>
          <w:tcPr>
            <w:tcW w:w="113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2737"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四、公共安全支出</w:t>
            </w:r>
          </w:p>
        </w:tc>
        <w:tc>
          <w:tcPr>
            <w:tcW w:w="1728"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2735"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五、事业收入</w:t>
            </w:r>
          </w:p>
        </w:tc>
        <w:tc>
          <w:tcPr>
            <w:tcW w:w="113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2737"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五、教育支出</w:t>
            </w:r>
          </w:p>
        </w:tc>
        <w:tc>
          <w:tcPr>
            <w:tcW w:w="1728"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2735"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六、上级补助收入</w:t>
            </w:r>
          </w:p>
        </w:tc>
        <w:tc>
          <w:tcPr>
            <w:tcW w:w="113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2737"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六、科学技术支出</w:t>
            </w:r>
          </w:p>
        </w:tc>
        <w:tc>
          <w:tcPr>
            <w:tcW w:w="1728"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2735"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七、附属单位上缴收入</w:t>
            </w:r>
          </w:p>
        </w:tc>
        <w:tc>
          <w:tcPr>
            <w:tcW w:w="113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2737"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七、文化旅游体育与传媒支出</w:t>
            </w:r>
          </w:p>
        </w:tc>
        <w:tc>
          <w:tcPr>
            <w:tcW w:w="1728"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2735"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八、事业单位经营收入</w:t>
            </w:r>
          </w:p>
        </w:tc>
        <w:tc>
          <w:tcPr>
            <w:tcW w:w="113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2737"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八、社会保障和就业支出</w:t>
            </w:r>
          </w:p>
        </w:tc>
        <w:tc>
          <w:tcPr>
            <w:tcW w:w="1728"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27,944.94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2735"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九、其他收入</w:t>
            </w:r>
          </w:p>
        </w:tc>
        <w:tc>
          <w:tcPr>
            <w:tcW w:w="113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2737"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九、社会保险基金支出</w:t>
            </w:r>
          </w:p>
        </w:tc>
        <w:tc>
          <w:tcPr>
            <w:tcW w:w="1728"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2735"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13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2737"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十、卫生健康支出</w:t>
            </w:r>
          </w:p>
        </w:tc>
        <w:tc>
          <w:tcPr>
            <w:tcW w:w="1728"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25.50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2735"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13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2737"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十一、节能环保支出</w:t>
            </w:r>
          </w:p>
        </w:tc>
        <w:tc>
          <w:tcPr>
            <w:tcW w:w="1728"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2735"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13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2737"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十二、城乡社区支出</w:t>
            </w:r>
          </w:p>
        </w:tc>
        <w:tc>
          <w:tcPr>
            <w:tcW w:w="1728"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2735"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13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2737"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十三、农林水支出</w:t>
            </w:r>
          </w:p>
        </w:tc>
        <w:tc>
          <w:tcPr>
            <w:tcW w:w="1728"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2735"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13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2737"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十四、交通运输支出</w:t>
            </w:r>
          </w:p>
        </w:tc>
        <w:tc>
          <w:tcPr>
            <w:tcW w:w="1728"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2735"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13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2737"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十五、资源勘探工业信息等支出</w:t>
            </w:r>
          </w:p>
        </w:tc>
        <w:tc>
          <w:tcPr>
            <w:tcW w:w="1728"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2735"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13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2737"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十六、商业服务业等支出</w:t>
            </w:r>
          </w:p>
        </w:tc>
        <w:tc>
          <w:tcPr>
            <w:tcW w:w="1728"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2735"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13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2737"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十七、金融支出</w:t>
            </w:r>
          </w:p>
        </w:tc>
        <w:tc>
          <w:tcPr>
            <w:tcW w:w="1728"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2735"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13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2737"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十八、援助其他地区支出</w:t>
            </w:r>
          </w:p>
        </w:tc>
        <w:tc>
          <w:tcPr>
            <w:tcW w:w="1728"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2735"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13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2737"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十九、自然资源海洋气象等支出</w:t>
            </w:r>
          </w:p>
        </w:tc>
        <w:tc>
          <w:tcPr>
            <w:tcW w:w="1728"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2735"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13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2737"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二十、住房保障支出</w:t>
            </w:r>
          </w:p>
        </w:tc>
        <w:tc>
          <w:tcPr>
            <w:tcW w:w="1728"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17.15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2735"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13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2737"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二十一、粮油物资储备支出</w:t>
            </w:r>
          </w:p>
        </w:tc>
        <w:tc>
          <w:tcPr>
            <w:tcW w:w="1728"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2735"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13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2737"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二十二、国有资本经营预算支出</w:t>
            </w:r>
          </w:p>
        </w:tc>
        <w:tc>
          <w:tcPr>
            <w:tcW w:w="1728"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2735"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13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2737"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二十三、灾害防治及应急管理支出</w:t>
            </w:r>
          </w:p>
        </w:tc>
        <w:tc>
          <w:tcPr>
            <w:tcW w:w="1728"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2735"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13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2737"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二十四、预备费</w:t>
            </w:r>
          </w:p>
        </w:tc>
        <w:tc>
          <w:tcPr>
            <w:tcW w:w="1728"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2735"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13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2737"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二十五、其他支出</w:t>
            </w:r>
          </w:p>
        </w:tc>
        <w:tc>
          <w:tcPr>
            <w:tcW w:w="1728"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2735"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13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2737"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二十六、转移性支出</w:t>
            </w:r>
          </w:p>
        </w:tc>
        <w:tc>
          <w:tcPr>
            <w:tcW w:w="1728"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2735"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13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2737"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二十七、债务还本支出</w:t>
            </w:r>
          </w:p>
        </w:tc>
        <w:tc>
          <w:tcPr>
            <w:tcW w:w="1728"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2735"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13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2737"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二十八、债务付息支出</w:t>
            </w:r>
          </w:p>
        </w:tc>
        <w:tc>
          <w:tcPr>
            <w:tcW w:w="1728"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2735"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13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2737"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二十九、债务发行费用支出</w:t>
            </w:r>
          </w:p>
        </w:tc>
        <w:tc>
          <w:tcPr>
            <w:tcW w:w="1728"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2735"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13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2737"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 xml:space="preserve"> 三十、抗疫特别国债安排的支出</w:t>
            </w:r>
          </w:p>
        </w:tc>
        <w:tc>
          <w:tcPr>
            <w:tcW w:w="1728"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2735"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本年收入合计</w:t>
            </w:r>
          </w:p>
        </w:tc>
        <w:tc>
          <w:tcPr>
            <w:tcW w:w="113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27,987.59</w:t>
            </w:r>
          </w:p>
        </w:tc>
        <w:tc>
          <w:tcPr>
            <w:tcW w:w="2737"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本年支出合计</w:t>
            </w:r>
          </w:p>
        </w:tc>
        <w:tc>
          <w:tcPr>
            <w:tcW w:w="1728"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27,987.59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2735"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上年结转</w:t>
            </w:r>
          </w:p>
        </w:tc>
        <w:tc>
          <w:tcPr>
            <w:tcW w:w="113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2737" w:type="dxa"/>
            <w:tcBorders>
              <w:top w:val="single" w:color="C0C0C0" w:sz="4" w:space="0"/>
              <w:left w:val="single" w:color="C0C0C0" w:sz="4" w:space="0"/>
              <w:bottom w:val="single" w:color="C0C0C0" w:sz="4" w:space="0"/>
              <w:right w:val="single" w:color="C0C0C0"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结转下年</w:t>
            </w:r>
          </w:p>
        </w:tc>
        <w:tc>
          <w:tcPr>
            <w:tcW w:w="1728"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2735"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收入总计</w:t>
            </w:r>
          </w:p>
        </w:tc>
        <w:tc>
          <w:tcPr>
            <w:tcW w:w="1130"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27,987.59</w:t>
            </w:r>
          </w:p>
        </w:tc>
        <w:tc>
          <w:tcPr>
            <w:tcW w:w="2737"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支出总计</w:t>
            </w:r>
          </w:p>
        </w:tc>
        <w:tc>
          <w:tcPr>
            <w:tcW w:w="1728"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27,987.59</w:t>
            </w:r>
          </w:p>
        </w:tc>
      </w:tr>
    </w:tbl>
    <w:p>
      <w:pPr>
        <w:pStyle w:val="7"/>
        <w:numPr>
          <w:ilvl w:val="0"/>
          <w:numId w:val="0"/>
        </w:numPr>
        <w:jc w:val="left"/>
        <w:rPr>
          <w:highlight w:val="none"/>
        </w:rPr>
      </w:pPr>
    </w:p>
    <w:p>
      <w:pPr>
        <w:pStyle w:val="7"/>
        <w:numPr>
          <w:ilvl w:val="0"/>
          <w:numId w:val="0"/>
        </w:numPr>
        <w:jc w:val="left"/>
        <w:rPr>
          <w:rFonts w:hint="eastAsia" w:ascii="黑体" w:hAnsi="黑体" w:eastAsia="黑体" w:cs="黑体"/>
          <w:sz w:val="30"/>
          <w:szCs w:val="30"/>
          <w:highlight w:val="none"/>
        </w:rPr>
      </w:pPr>
      <w:r>
        <w:rPr>
          <w:rFonts w:hint="eastAsia" w:ascii="黑体" w:hAnsi="黑体" w:eastAsia="黑体" w:cs="黑体"/>
          <w:sz w:val="30"/>
          <w:szCs w:val="30"/>
          <w:highlight w:val="none"/>
          <w:lang w:eastAsia="zh-CN"/>
        </w:rPr>
        <w:t>八、</w:t>
      </w:r>
      <w:r>
        <w:rPr>
          <w:rFonts w:hint="eastAsia" w:ascii="黑体" w:hAnsi="黑体" w:eastAsia="黑体" w:cs="黑体"/>
          <w:sz w:val="30"/>
          <w:szCs w:val="30"/>
          <w:highlight w:val="none"/>
        </w:rPr>
        <w:t>部门（单位）收入总表</w:t>
      </w:r>
    </w:p>
    <w:tbl>
      <w:tblPr>
        <w:tblW w:w="83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666"/>
        <w:gridCol w:w="1067"/>
        <w:gridCol w:w="1170"/>
        <w:gridCol w:w="240"/>
        <w:gridCol w:w="1116"/>
        <w:gridCol w:w="471"/>
        <w:gridCol w:w="639"/>
        <w:gridCol w:w="546"/>
        <w:gridCol w:w="414"/>
        <w:gridCol w:w="414"/>
        <w:gridCol w:w="452"/>
        <w:gridCol w:w="452"/>
        <w:gridCol w:w="6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398" w:hRule="atLeast"/>
        </w:trPr>
        <w:tc>
          <w:tcPr>
            <w:tcW w:w="8330" w:type="dxa"/>
            <w:gridSpan w:val="13"/>
            <w:tcBorders>
              <w:top w:val="single" w:color="FFFFFF" w:sz="4" w:space="0"/>
              <w:left w:val="single" w:color="FFFFFF" w:sz="4" w:space="0"/>
              <w:bottom w:val="single" w:color="FFFFFF" w:sz="4" w:space="0"/>
              <w:right w:val="single" w:color="FFFFFF" w:sz="4" w:space="0"/>
            </w:tcBorders>
            <w:shd w:val="clear"/>
            <w:noWrap/>
            <w:tcMar>
              <w:top w:w="12" w:type="dxa"/>
              <w:left w:w="12" w:type="dxa"/>
              <w:right w:w="12" w:type="dxa"/>
            </w:tcMar>
            <w:vAlign w:val="center"/>
          </w:tcPr>
          <w:p>
            <w:pPr>
              <w:keepNext w:val="0"/>
              <w:keepLines w:val="0"/>
              <w:widowControl/>
              <w:suppressLineNumbers w:val="0"/>
              <w:jc w:val="center"/>
              <w:textAlignment w:val="center"/>
              <w:rPr>
                <w:rFonts w:ascii="黑体" w:hAnsi="宋体" w:eastAsia="黑体" w:cs="黑体"/>
                <w:b/>
                <w:i w:val="0"/>
                <w:color w:val="000000"/>
                <w:sz w:val="32"/>
                <w:szCs w:val="32"/>
                <w:highlight w:val="none"/>
                <w:u w:val="none"/>
              </w:rPr>
            </w:pPr>
            <w:r>
              <w:rPr>
                <w:rFonts w:hint="eastAsia" w:ascii="黑体" w:hAnsi="宋体" w:eastAsia="黑体" w:cs="黑体"/>
                <w:b/>
                <w:i w:val="0"/>
                <w:color w:val="000000"/>
                <w:kern w:val="0"/>
                <w:sz w:val="32"/>
                <w:szCs w:val="32"/>
                <w:highlight w:val="none"/>
                <w:u w:val="none"/>
                <w:bdr w:val="none" w:color="auto" w:sz="0" w:space="0"/>
                <w:lang w:val="en-US" w:eastAsia="zh-CN" w:bidi="ar"/>
              </w:rPr>
              <w:t>部门收入总表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1" w:hRule="atLeast"/>
        </w:trPr>
        <w:tc>
          <w:tcPr>
            <w:tcW w:w="8330" w:type="dxa"/>
            <w:gridSpan w:val="13"/>
            <w:tcBorders>
              <w:top w:val="single" w:color="FFFFFF" w:sz="4" w:space="0"/>
              <w:left w:val="single" w:color="FFFFFF" w:sz="4" w:space="0"/>
              <w:bottom w:val="nil"/>
              <w:right w:val="single" w:color="FFFFFF"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ascii="宋体" w:hAnsi="宋体" w:eastAsia="宋体" w:cs="宋体"/>
                <w:i w:val="0"/>
                <w:color w:val="000000"/>
                <w:sz w:val="22"/>
                <w:szCs w:val="22"/>
                <w:highlight w:val="none"/>
                <w:u w:val="none"/>
              </w:rPr>
            </w:pPr>
            <w:r>
              <w:rPr>
                <w:rFonts w:ascii="宋体" w:hAnsi="宋体" w:eastAsia="宋体" w:cs="宋体"/>
                <w:i w:val="0"/>
                <w:color w:val="000000"/>
                <w:kern w:val="0"/>
                <w:sz w:val="22"/>
                <w:szCs w:val="22"/>
                <w:highlight w:val="none"/>
                <w:u w:val="none"/>
                <w:bdr w:val="none" w:color="auto" w:sz="0" w:space="0"/>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7" w:hRule="atLeast"/>
        </w:trPr>
        <w:tc>
          <w:tcPr>
            <w:tcW w:w="666" w:type="dxa"/>
            <w:vMerge w:val="restart"/>
            <w:tcBorders>
              <w:top w:val="single" w:color="C2C3C4" w:sz="4" w:space="0"/>
              <w:left w:val="single" w:color="C2C3C4" w:sz="4" w:space="0"/>
              <w:bottom w:val="single" w:color="C2C3C4" w:sz="4" w:space="0"/>
              <w:right w:val="single" w:color="C2C3C4" w:sz="4" w:space="0"/>
            </w:tcBorders>
            <w:shd w:val="clear" w:color="EFF2F7" w:fill="EFF2F7"/>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部门（单位）</w:t>
            </w:r>
            <w:r>
              <w:rPr>
                <w:rFonts w:hint="eastAsia" w:ascii="宋体" w:hAnsi="宋体" w:eastAsia="宋体" w:cs="宋体"/>
                <w:b/>
                <w:i w:val="0"/>
                <w:color w:val="000000"/>
                <w:kern w:val="0"/>
                <w:sz w:val="22"/>
                <w:szCs w:val="22"/>
                <w:highlight w:val="none"/>
                <w:u w:val="none"/>
                <w:bdr w:val="none" w:color="auto" w:sz="0" w:space="0"/>
                <w:lang w:val="en-US" w:eastAsia="zh-CN" w:bidi="ar"/>
              </w:rPr>
              <w:br w:type="textWrapping"/>
            </w:r>
            <w:r>
              <w:rPr>
                <w:rFonts w:hint="eastAsia" w:ascii="宋体" w:hAnsi="宋体" w:eastAsia="宋体" w:cs="宋体"/>
                <w:b/>
                <w:i w:val="0"/>
                <w:color w:val="000000"/>
                <w:kern w:val="0"/>
                <w:sz w:val="22"/>
                <w:szCs w:val="22"/>
                <w:highlight w:val="none"/>
                <w:u w:val="none"/>
                <w:bdr w:val="none" w:color="auto" w:sz="0" w:space="0"/>
                <w:lang w:val="en-US" w:eastAsia="zh-CN" w:bidi="ar"/>
              </w:rPr>
              <w:t>代码</w:t>
            </w:r>
          </w:p>
        </w:tc>
        <w:tc>
          <w:tcPr>
            <w:tcW w:w="1067" w:type="dxa"/>
            <w:vMerge w:val="restart"/>
            <w:tcBorders>
              <w:top w:val="single" w:color="C2C3C4" w:sz="4" w:space="0"/>
              <w:left w:val="single" w:color="C2C3C4" w:sz="4" w:space="0"/>
              <w:bottom w:val="single" w:color="C2C3C4" w:sz="4" w:space="0"/>
              <w:right w:val="single" w:color="C2C3C4" w:sz="4" w:space="0"/>
            </w:tcBorders>
            <w:shd w:val="clear" w:color="EFF2F7" w:fill="EFF2F7"/>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部门（单位）</w:t>
            </w:r>
            <w:r>
              <w:rPr>
                <w:rFonts w:hint="eastAsia" w:ascii="宋体" w:hAnsi="宋体" w:eastAsia="宋体" w:cs="宋体"/>
                <w:b/>
                <w:i w:val="0"/>
                <w:color w:val="000000"/>
                <w:kern w:val="0"/>
                <w:sz w:val="22"/>
                <w:szCs w:val="22"/>
                <w:highlight w:val="none"/>
                <w:u w:val="none"/>
                <w:bdr w:val="none" w:color="auto" w:sz="0" w:space="0"/>
                <w:lang w:val="en-US" w:eastAsia="zh-CN" w:bidi="ar"/>
              </w:rPr>
              <w:br w:type="textWrapping"/>
            </w:r>
            <w:r>
              <w:rPr>
                <w:rFonts w:hint="eastAsia" w:ascii="宋体" w:hAnsi="宋体" w:eastAsia="宋体" w:cs="宋体"/>
                <w:b/>
                <w:i w:val="0"/>
                <w:color w:val="000000"/>
                <w:kern w:val="0"/>
                <w:sz w:val="22"/>
                <w:szCs w:val="22"/>
                <w:highlight w:val="none"/>
                <w:u w:val="none"/>
                <w:bdr w:val="none" w:color="auto" w:sz="0" w:space="0"/>
                <w:lang w:val="en-US" w:eastAsia="zh-CN" w:bidi="ar"/>
              </w:rPr>
              <w:t>名称</w:t>
            </w:r>
          </w:p>
        </w:tc>
        <w:tc>
          <w:tcPr>
            <w:tcW w:w="6597" w:type="dxa"/>
            <w:gridSpan w:val="11"/>
            <w:tcBorders>
              <w:top w:val="single" w:color="C2C3C4" w:sz="4" w:space="0"/>
              <w:left w:val="single" w:color="C2C3C4" w:sz="4" w:space="0"/>
              <w:bottom w:val="single" w:color="C2C3C4" w:sz="4" w:space="0"/>
              <w:right w:val="single" w:color="C2C3C4" w:sz="4" w:space="0"/>
            </w:tcBorders>
            <w:shd w:val="clear" w:color="EFF2F7" w:fill="EFF2F7"/>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资金性质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83" w:hRule="atLeast"/>
        </w:trPr>
        <w:tc>
          <w:tcPr>
            <w:tcW w:w="666" w:type="dxa"/>
            <w:vMerge w:val="continue"/>
            <w:tcBorders>
              <w:top w:val="single" w:color="C2C3C4" w:sz="4" w:space="0"/>
              <w:left w:val="single" w:color="C2C3C4" w:sz="4" w:space="0"/>
              <w:bottom w:val="single" w:color="C2C3C4" w:sz="4" w:space="0"/>
              <w:right w:val="single" w:color="C2C3C4" w:sz="4" w:space="0"/>
            </w:tcBorders>
            <w:shd w:val="clear" w:color="EFF2F7" w:fill="EFF2F7"/>
            <w:noWrap/>
            <w:tcMar>
              <w:top w:w="12" w:type="dxa"/>
              <w:left w:w="12" w:type="dxa"/>
              <w:right w:w="12" w:type="dxa"/>
            </w:tcMar>
            <w:vAlign w:val="center"/>
          </w:tcPr>
          <w:p>
            <w:pPr>
              <w:jc w:val="center"/>
              <w:rPr>
                <w:rFonts w:hint="eastAsia" w:ascii="宋体" w:hAnsi="宋体" w:eastAsia="宋体" w:cs="宋体"/>
                <w:b/>
                <w:i w:val="0"/>
                <w:color w:val="000000"/>
                <w:sz w:val="22"/>
                <w:szCs w:val="22"/>
                <w:highlight w:val="none"/>
                <w:u w:val="none"/>
              </w:rPr>
            </w:pPr>
          </w:p>
        </w:tc>
        <w:tc>
          <w:tcPr>
            <w:tcW w:w="1067" w:type="dxa"/>
            <w:vMerge w:val="continue"/>
            <w:tcBorders>
              <w:top w:val="single" w:color="C2C3C4" w:sz="4" w:space="0"/>
              <w:left w:val="single" w:color="C2C3C4" w:sz="4" w:space="0"/>
              <w:bottom w:val="single" w:color="C2C3C4" w:sz="4" w:space="0"/>
              <w:right w:val="single" w:color="C2C3C4" w:sz="4" w:space="0"/>
            </w:tcBorders>
            <w:shd w:val="clear" w:color="EFF2F7" w:fill="EFF2F7"/>
            <w:noWrap/>
            <w:tcMar>
              <w:top w:w="12" w:type="dxa"/>
              <w:left w:w="12" w:type="dxa"/>
              <w:right w:w="12" w:type="dxa"/>
            </w:tcMar>
            <w:vAlign w:val="center"/>
          </w:tcPr>
          <w:p>
            <w:pPr>
              <w:jc w:val="center"/>
              <w:rPr>
                <w:rFonts w:hint="eastAsia" w:ascii="宋体" w:hAnsi="宋体" w:eastAsia="宋体" w:cs="宋体"/>
                <w:b/>
                <w:i w:val="0"/>
                <w:color w:val="000000"/>
                <w:sz w:val="22"/>
                <w:szCs w:val="22"/>
                <w:highlight w:val="none"/>
                <w:u w:val="none"/>
              </w:rPr>
            </w:pPr>
          </w:p>
        </w:tc>
        <w:tc>
          <w:tcPr>
            <w:tcW w:w="1170" w:type="dxa"/>
            <w:tcBorders>
              <w:top w:val="single" w:color="C2C3C4" w:sz="4" w:space="0"/>
              <w:left w:val="single" w:color="C2C3C4" w:sz="4" w:space="0"/>
              <w:bottom w:val="single" w:color="C2C3C4" w:sz="4" w:space="0"/>
              <w:right w:val="single" w:color="C2C3C4" w:sz="4" w:space="0"/>
            </w:tcBorders>
            <w:shd w:val="clear" w:color="EFF2F7" w:fill="EFF2F7"/>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小计</w:t>
            </w:r>
          </w:p>
        </w:tc>
        <w:tc>
          <w:tcPr>
            <w:tcW w:w="240" w:type="dxa"/>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上年结转</w:t>
            </w:r>
          </w:p>
        </w:tc>
        <w:tc>
          <w:tcPr>
            <w:tcW w:w="1116" w:type="dxa"/>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一般公共预算拨款收入</w:t>
            </w:r>
          </w:p>
        </w:tc>
        <w:tc>
          <w:tcPr>
            <w:tcW w:w="471" w:type="dxa"/>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政府性基金预算拨款收入</w:t>
            </w:r>
          </w:p>
        </w:tc>
        <w:tc>
          <w:tcPr>
            <w:tcW w:w="639" w:type="dxa"/>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国有资本经营预算拨款收入</w:t>
            </w:r>
          </w:p>
        </w:tc>
        <w:tc>
          <w:tcPr>
            <w:tcW w:w="546" w:type="dxa"/>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财政专户管理资金收入</w:t>
            </w:r>
          </w:p>
        </w:tc>
        <w:tc>
          <w:tcPr>
            <w:tcW w:w="414" w:type="dxa"/>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事业收入</w:t>
            </w:r>
          </w:p>
        </w:tc>
        <w:tc>
          <w:tcPr>
            <w:tcW w:w="414" w:type="dxa"/>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上级补助收入</w:t>
            </w:r>
          </w:p>
        </w:tc>
        <w:tc>
          <w:tcPr>
            <w:tcW w:w="452" w:type="dxa"/>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附属单位上缴收入</w:t>
            </w:r>
          </w:p>
        </w:tc>
        <w:tc>
          <w:tcPr>
            <w:tcW w:w="452" w:type="dxa"/>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事业单位经营收入</w:t>
            </w:r>
          </w:p>
        </w:tc>
        <w:tc>
          <w:tcPr>
            <w:tcW w:w="683" w:type="dxa"/>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1733" w:type="dxa"/>
            <w:gridSpan w:val="2"/>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合    计</w:t>
            </w:r>
          </w:p>
        </w:tc>
        <w:tc>
          <w:tcPr>
            <w:tcW w:w="117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27,987.59</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b/>
                <w:i w:val="0"/>
                <w:color w:val="000000"/>
                <w:sz w:val="22"/>
                <w:szCs w:val="22"/>
                <w:highlight w:val="none"/>
                <w:u w:val="none"/>
              </w:rPr>
            </w:pPr>
          </w:p>
        </w:tc>
        <w:tc>
          <w:tcPr>
            <w:tcW w:w="111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27,987.59</w:t>
            </w:r>
          </w:p>
        </w:tc>
        <w:tc>
          <w:tcPr>
            <w:tcW w:w="471"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b/>
                <w:i w:val="0"/>
                <w:color w:val="000000"/>
                <w:sz w:val="22"/>
                <w:szCs w:val="22"/>
                <w:highlight w:val="none"/>
                <w:u w:val="none"/>
              </w:rPr>
            </w:pPr>
          </w:p>
        </w:tc>
        <w:tc>
          <w:tcPr>
            <w:tcW w:w="6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b/>
                <w:i w:val="0"/>
                <w:color w:val="000000"/>
                <w:sz w:val="22"/>
                <w:szCs w:val="22"/>
                <w:highlight w:val="none"/>
                <w:u w:val="none"/>
              </w:rPr>
            </w:pPr>
          </w:p>
        </w:tc>
        <w:tc>
          <w:tcPr>
            <w:tcW w:w="54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b/>
                <w:i w:val="0"/>
                <w:color w:val="000000"/>
                <w:sz w:val="22"/>
                <w:szCs w:val="22"/>
                <w:highlight w:val="none"/>
                <w:u w:val="none"/>
              </w:rPr>
            </w:pPr>
          </w:p>
        </w:tc>
        <w:tc>
          <w:tcPr>
            <w:tcW w:w="414"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b/>
                <w:i w:val="0"/>
                <w:color w:val="000000"/>
                <w:sz w:val="22"/>
                <w:szCs w:val="22"/>
                <w:highlight w:val="none"/>
                <w:u w:val="none"/>
              </w:rPr>
            </w:pPr>
          </w:p>
        </w:tc>
        <w:tc>
          <w:tcPr>
            <w:tcW w:w="414"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b/>
                <w:i w:val="0"/>
                <w:color w:val="000000"/>
                <w:sz w:val="22"/>
                <w:szCs w:val="22"/>
                <w:highlight w:val="none"/>
                <w:u w:val="none"/>
              </w:rPr>
            </w:pPr>
          </w:p>
        </w:tc>
        <w:tc>
          <w:tcPr>
            <w:tcW w:w="452"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b/>
                <w:i w:val="0"/>
                <w:color w:val="000000"/>
                <w:sz w:val="22"/>
                <w:szCs w:val="22"/>
                <w:highlight w:val="none"/>
                <w:u w:val="none"/>
              </w:rPr>
            </w:pPr>
          </w:p>
        </w:tc>
        <w:tc>
          <w:tcPr>
            <w:tcW w:w="452"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b/>
                <w:i w:val="0"/>
                <w:color w:val="000000"/>
                <w:sz w:val="22"/>
                <w:szCs w:val="22"/>
                <w:highlight w:val="none"/>
                <w:u w:val="none"/>
              </w:rPr>
            </w:pPr>
          </w:p>
        </w:tc>
        <w:tc>
          <w:tcPr>
            <w:tcW w:w="6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b/>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66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201</w:t>
            </w:r>
          </w:p>
        </w:tc>
        <w:tc>
          <w:tcPr>
            <w:tcW w:w="1067" w:type="dxa"/>
            <w:tcBorders>
              <w:top w:val="single" w:color="C2C3C4" w:sz="4" w:space="0"/>
              <w:left w:val="single" w:color="C2C3C4" w:sz="4" w:space="0"/>
              <w:bottom w:val="single" w:color="C2C3C4" w:sz="4" w:space="0"/>
              <w:right w:val="single" w:color="C2C3C4"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Style w:val="17"/>
                <w:highlight w:val="none"/>
                <w:bdr w:val="none" w:color="auto" w:sz="0" w:space="0"/>
                <w:lang w:val="en-US" w:eastAsia="zh-CN" w:bidi="ar"/>
              </w:rPr>
              <w:t>海口市人力资源和社会保障局</w:t>
            </w:r>
          </w:p>
        </w:tc>
        <w:tc>
          <w:tcPr>
            <w:tcW w:w="117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27,987.59</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11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27,987.59</w:t>
            </w:r>
          </w:p>
        </w:tc>
        <w:tc>
          <w:tcPr>
            <w:tcW w:w="471"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6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54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414"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414"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452"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452"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6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66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201016</w:t>
            </w:r>
          </w:p>
        </w:tc>
        <w:tc>
          <w:tcPr>
            <w:tcW w:w="1067" w:type="dxa"/>
            <w:tcBorders>
              <w:top w:val="single" w:color="C2C3C4" w:sz="4" w:space="0"/>
              <w:left w:val="single" w:color="C2C3C4" w:sz="4" w:space="0"/>
              <w:bottom w:val="single" w:color="C2C3C4" w:sz="4" w:space="0"/>
              <w:right w:val="single" w:color="C2C3C4" w:sz="4" w:space="0"/>
            </w:tcBorders>
            <w:shd w:val="clear"/>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Style w:val="17"/>
                <w:highlight w:val="none"/>
                <w:bdr w:val="none" w:color="auto" w:sz="0" w:space="0"/>
                <w:lang w:val="en-US" w:eastAsia="zh-CN" w:bidi="ar"/>
              </w:rPr>
              <w:t>海口市农村社会养老保险局</w:t>
            </w:r>
          </w:p>
        </w:tc>
        <w:tc>
          <w:tcPr>
            <w:tcW w:w="117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27,987.59</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11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27,987.59</w:t>
            </w:r>
          </w:p>
        </w:tc>
        <w:tc>
          <w:tcPr>
            <w:tcW w:w="471"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6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546"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414"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414"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452"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452"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6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bl>
    <w:p>
      <w:pPr>
        <w:pStyle w:val="7"/>
        <w:numPr>
          <w:ilvl w:val="0"/>
          <w:numId w:val="0"/>
        </w:numPr>
        <w:ind w:leftChars="200" w:firstLine="300" w:firstLineChars="100"/>
        <w:jc w:val="left"/>
        <w:rPr>
          <w:rFonts w:hint="eastAsia" w:ascii="黑体" w:hAnsi="黑体" w:eastAsia="黑体" w:cs="黑体"/>
          <w:sz w:val="30"/>
          <w:szCs w:val="30"/>
          <w:highlight w:val="none"/>
          <w:lang w:eastAsia="zh-CN"/>
        </w:rPr>
      </w:pPr>
    </w:p>
    <w:p>
      <w:pPr>
        <w:pStyle w:val="7"/>
        <w:numPr>
          <w:ilvl w:val="0"/>
          <w:numId w:val="0"/>
        </w:numPr>
        <w:ind w:leftChars="200"/>
        <w:jc w:val="left"/>
        <w:rPr>
          <w:rFonts w:hint="eastAsia" w:ascii="黑体" w:hAnsi="黑体" w:eastAsia="黑体" w:cs="黑体"/>
          <w:sz w:val="30"/>
          <w:szCs w:val="30"/>
          <w:highlight w:val="none"/>
        </w:rPr>
      </w:pPr>
      <w:r>
        <w:rPr>
          <w:rFonts w:hint="eastAsia" w:ascii="黑体" w:hAnsi="黑体" w:eastAsia="黑体" w:cs="黑体"/>
          <w:sz w:val="30"/>
          <w:szCs w:val="30"/>
          <w:highlight w:val="none"/>
          <w:lang w:eastAsia="zh-CN"/>
        </w:rPr>
        <w:t>九、</w:t>
      </w:r>
      <w:r>
        <w:rPr>
          <w:rFonts w:hint="eastAsia" w:ascii="黑体" w:hAnsi="黑体" w:eastAsia="黑体" w:cs="黑体"/>
          <w:sz w:val="30"/>
          <w:szCs w:val="30"/>
          <w:highlight w:val="none"/>
        </w:rPr>
        <w:t>部门（单位）支出总表</w:t>
      </w:r>
    </w:p>
    <w:tbl>
      <w:tblPr>
        <w:tblW w:w="83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493"/>
        <w:gridCol w:w="494"/>
        <w:gridCol w:w="494"/>
        <w:gridCol w:w="2634"/>
        <w:gridCol w:w="1054"/>
        <w:gridCol w:w="1053"/>
        <w:gridCol w:w="1054"/>
        <w:gridCol w:w="10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rHeight w:val="398" w:hRule="atLeast"/>
        </w:trPr>
        <w:tc>
          <w:tcPr>
            <w:tcW w:w="8330" w:type="dxa"/>
            <w:gridSpan w:val="8"/>
            <w:tcBorders>
              <w:top w:val="single" w:color="FFFFFF" w:sz="4" w:space="0"/>
              <w:left w:val="single" w:color="FFFFFF" w:sz="4" w:space="0"/>
              <w:bottom w:val="single" w:color="FFFFFF" w:sz="4" w:space="0"/>
              <w:right w:val="single" w:color="FFFFFF" w:sz="4" w:space="0"/>
            </w:tcBorders>
            <w:shd w:val="clear"/>
            <w:noWrap/>
            <w:tcMar>
              <w:top w:w="12" w:type="dxa"/>
              <w:left w:w="12" w:type="dxa"/>
              <w:right w:w="12" w:type="dxa"/>
            </w:tcMar>
            <w:vAlign w:val="center"/>
          </w:tcPr>
          <w:p>
            <w:pPr>
              <w:keepNext w:val="0"/>
              <w:keepLines w:val="0"/>
              <w:widowControl/>
              <w:suppressLineNumbers w:val="0"/>
              <w:jc w:val="center"/>
              <w:textAlignment w:val="center"/>
              <w:rPr>
                <w:rFonts w:ascii="黑体" w:hAnsi="宋体" w:eastAsia="黑体" w:cs="黑体"/>
                <w:b/>
                <w:i w:val="0"/>
                <w:color w:val="000000"/>
                <w:sz w:val="32"/>
                <w:szCs w:val="32"/>
                <w:highlight w:val="none"/>
                <w:u w:val="none"/>
              </w:rPr>
            </w:pPr>
            <w:r>
              <w:rPr>
                <w:rFonts w:hint="eastAsia" w:ascii="黑体" w:hAnsi="宋体" w:eastAsia="黑体" w:cs="黑体"/>
                <w:b/>
                <w:i w:val="0"/>
                <w:color w:val="000000"/>
                <w:kern w:val="0"/>
                <w:sz w:val="32"/>
                <w:szCs w:val="32"/>
                <w:highlight w:val="none"/>
                <w:u w:val="none"/>
                <w:bdr w:val="none" w:color="auto" w:sz="0" w:space="0"/>
                <w:lang w:val="en-US" w:eastAsia="zh-CN" w:bidi="ar"/>
              </w:rPr>
              <w:t>部门支出总表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1" w:hRule="atLeast"/>
        </w:trPr>
        <w:tc>
          <w:tcPr>
            <w:tcW w:w="8330" w:type="dxa"/>
            <w:gridSpan w:val="8"/>
            <w:tcBorders>
              <w:top w:val="single" w:color="FFFFFF" w:sz="4" w:space="0"/>
              <w:left w:val="single" w:color="FFFFFF" w:sz="4" w:space="0"/>
              <w:bottom w:val="nil"/>
              <w:right w:val="single" w:color="FFFFFF" w:sz="4" w:space="0"/>
            </w:tcBorders>
            <w:shd w:val="clear"/>
            <w:tcMar>
              <w:top w:w="12" w:type="dxa"/>
              <w:left w:w="12" w:type="dxa"/>
              <w:right w:w="12" w:type="dxa"/>
            </w:tcMar>
            <w:vAlign w:val="center"/>
          </w:tcPr>
          <w:p>
            <w:pPr>
              <w:keepNext w:val="0"/>
              <w:keepLines w:val="0"/>
              <w:widowControl/>
              <w:suppressLineNumbers w:val="0"/>
              <w:jc w:val="right"/>
              <w:textAlignment w:val="center"/>
              <w:rPr>
                <w:rFonts w:ascii="宋体" w:hAnsi="宋体" w:eastAsia="宋体" w:cs="宋体"/>
                <w:i w:val="0"/>
                <w:color w:val="000000"/>
                <w:sz w:val="22"/>
                <w:szCs w:val="22"/>
                <w:highlight w:val="none"/>
                <w:u w:val="none"/>
              </w:rPr>
            </w:pPr>
            <w:r>
              <w:rPr>
                <w:rFonts w:ascii="宋体" w:hAnsi="宋体" w:eastAsia="宋体" w:cs="宋体"/>
                <w:i w:val="0"/>
                <w:color w:val="000000"/>
                <w:kern w:val="0"/>
                <w:sz w:val="22"/>
                <w:szCs w:val="22"/>
                <w:highlight w:val="none"/>
                <w:u w:val="none"/>
                <w:bdr w:val="none" w:color="auto" w:sz="0" w:space="0"/>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7" w:hRule="atLeast"/>
        </w:trPr>
        <w:tc>
          <w:tcPr>
            <w:tcW w:w="4115" w:type="dxa"/>
            <w:gridSpan w:val="4"/>
            <w:tcBorders>
              <w:top w:val="single" w:color="C2C3C4" w:sz="4" w:space="0"/>
              <w:left w:val="single" w:color="C2C3C4" w:sz="4" w:space="0"/>
              <w:bottom w:val="single" w:color="C2C3C4" w:sz="4" w:space="0"/>
              <w:right w:val="single" w:color="C2C3C4" w:sz="4" w:space="0"/>
            </w:tcBorders>
            <w:shd w:val="clear" w:color="EFF2F7" w:fill="EFF2F7"/>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支出功能分类科目</w:t>
            </w:r>
          </w:p>
        </w:tc>
        <w:tc>
          <w:tcPr>
            <w:tcW w:w="4215" w:type="dxa"/>
            <w:gridSpan w:val="4"/>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2024年预算数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7" w:hRule="atLeast"/>
        </w:trPr>
        <w:tc>
          <w:tcPr>
            <w:tcW w:w="1481" w:type="dxa"/>
            <w:gridSpan w:val="3"/>
            <w:tcBorders>
              <w:top w:val="single" w:color="C2C3C4" w:sz="4" w:space="0"/>
              <w:left w:val="single" w:color="C2C3C4" w:sz="4" w:space="0"/>
              <w:bottom w:val="single" w:color="C2C3C4" w:sz="4" w:space="0"/>
              <w:right w:val="single" w:color="C2C3C4" w:sz="4" w:space="0"/>
            </w:tcBorders>
            <w:shd w:val="clear" w:color="EFF2F7" w:fill="EFF2F7"/>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科目编码</w:t>
            </w:r>
          </w:p>
        </w:tc>
        <w:tc>
          <w:tcPr>
            <w:tcW w:w="2634" w:type="dxa"/>
            <w:vMerge w:val="restart"/>
            <w:tcBorders>
              <w:top w:val="single" w:color="C2C3C4" w:sz="4" w:space="0"/>
              <w:left w:val="single" w:color="C2C3C4" w:sz="4" w:space="0"/>
              <w:bottom w:val="single" w:color="C2C3C4" w:sz="4" w:space="0"/>
              <w:right w:val="single" w:color="C2C3C4" w:sz="4" w:space="0"/>
            </w:tcBorders>
            <w:shd w:val="clear" w:color="EFF2F7" w:fill="EFF2F7"/>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科目名称</w:t>
            </w:r>
          </w:p>
        </w:tc>
        <w:tc>
          <w:tcPr>
            <w:tcW w:w="1054" w:type="dxa"/>
            <w:vMerge w:val="restart"/>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合计</w:t>
            </w:r>
          </w:p>
        </w:tc>
        <w:tc>
          <w:tcPr>
            <w:tcW w:w="2107" w:type="dxa"/>
            <w:gridSpan w:val="2"/>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基本支出</w:t>
            </w:r>
          </w:p>
        </w:tc>
        <w:tc>
          <w:tcPr>
            <w:tcW w:w="1054" w:type="dxa"/>
            <w:vMerge w:val="restart"/>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7" w:hRule="atLeast"/>
        </w:trPr>
        <w:tc>
          <w:tcPr>
            <w:tcW w:w="493" w:type="dxa"/>
            <w:tcBorders>
              <w:top w:val="single" w:color="C2C3C4" w:sz="4" w:space="0"/>
              <w:left w:val="single" w:color="C2C3C4" w:sz="4" w:space="0"/>
              <w:bottom w:val="single" w:color="C2C3C4" w:sz="4" w:space="0"/>
              <w:right w:val="single" w:color="C2C3C4" w:sz="4" w:space="0"/>
            </w:tcBorders>
            <w:shd w:val="clear" w:color="EFF2F7" w:fill="EFF2F7"/>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类</w:t>
            </w:r>
          </w:p>
        </w:tc>
        <w:tc>
          <w:tcPr>
            <w:tcW w:w="494" w:type="dxa"/>
            <w:tcBorders>
              <w:top w:val="single" w:color="C2C3C4" w:sz="4" w:space="0"/>
              <w:left w:val="single" w:color="C2C3C4" w:sz="4" w:space="0"/>
              <w:bottom w:val="single" w:color="C2C3C4" w:sz="4" w:space="0"/>
              <w:right w:val="single" w:color="C2C3C4" w:sz="4" w:space="0"/>
            </w:tcBorders>
            <w:shd w:val="clear" w:color="EFF2F7" w:fill="EFF2F7"/>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款</w:t>
            </w:r>
          </w:p>
        </w:tc>
        <w:tc>
          <w:tcPr>
            <w:tcW w:w="494" w:type="dxa"/>
            <w:tcBorders>
              <w:top w:val="single" w:color="C2C3C4" w:sz="4" w:space="0"/>
              <w:left w:val="single" w:color="C2C3C4" w:sz="4" w:space="0"/>
              <w:bottom w:val="single" w:color="C2C3C4" w:sz="4" w:space="0"/>
              <w:right w:val="single" w:color="C2C3C4" w:sz="4" w:space="0"/>
            </w:tcBorders>
            <w:shd w:val="clear" w:color="EFF2F7" w:fill="EFF2F7"/>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项</w:t>
            </w:r>
          </w:p>
        </w:tc>
        <w:tc>
          <w:tcPr>
            <w:tcW w:w="2634" w:type="dxa"/>
            <w:vMerge w:val="continue"/>
            <w:tcBorders>
              <w:top w:val="single" w:color="C2C3C4" w:sz="4" w:space="0"/>
              <w:left w:val="single" w:color="C2C3C4" w:sz="4" w:space="0"/>
              <w:bottom w:val="single" w:color="C2C3C4" w:sz="4" w:space="0"/>
              <w:right w:val="single" w:color="C2C3C4" w:sz="4" w:space="0"/>
            </w:tcBorders>
            <w:shd w:val="clear" w:color="EFF2F7" w:fill="EFF2F7"/>
            <w:noWrap/>
            <w:tcMar>
              <w:top w:w="12" w:type="dxa"/>
              <w:left w:w="12" w:type="dxa"/>
              <w:right w:w="12" w:type="dxa"/>
            </w:tcMar>
            <w:vAlign w:val="center"/>
          </w:tcPr>
          <w:p>
            <w:pPr>
              <w:jc w:val="center"/>
              <w:rPr>
                <w:rFonts w:hint="eastAsia" w:ascii="宋体" w:hAnsi="宋体" w:eastAsia="宋体" w:cs="宋体"/>
                <w:b/>
                <w:i w:val="0"/>
                <w:color w:val="000000"/>
                <w:sz w:val="22"/>
                <w:szCs w:val="22"/>
                <w:highlight w:val="none"/>
                <w:u w:val="none"/>
              </w:rPr>
            </w:pPr>
          </w:p>
        </w:tc>
        <w:tc>
          <w:tcPr>
            <w:tcW w:w="1054" w:type="dxa"/>
            <w:vMerge w:val="continue"/>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jc w:val="center"/>
              <w:rPr>
                <w:rFonts w:hint="eastAsia" w:ascii="宋体" w:hAnsi="宋体" w:eastAsia="宋体" w:cs="宋体"/>
                <w:b/>
                <w:i w:val="0"/>
                <w:color w:val="000000"/>
                <w:sz w:val="22"/>
                <w:szCs w:val="22"/>
                <w:highlight w:val="none"/>
                <w:u w:val="none"/>
              </w:rPr>
            </w:pPr>
          </w:p>
        </w:tc>
        <w:tc>
          <w:tcPr>
            <w:tcW w:w="1053" w:type="dxa"/>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人员经费</w:t>
            </w:r>
          </w:p>
        </w:tc>
        <w:tc>
          <w:tcPr>
            <w:tcW w:w="1054" w:type="dxa"/>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公用经费</w:t>
            </w:r>
          </w:p>
        </w:tc>
        <w:tc>
          <w:tcPr>
            <w:tcW w:w="1054" w:type="dxa"/>
            <w:vMerge w:val="continue"/>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jc w:val="center"/>
              <w:rPr>
                <w:rFonts w:hint="eastAsia" w:ascii="宋体" w:hAnsi="宋体" w:eastAsia="宋体" w:cs="宋体"/>
                <w:b/>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4115" w:type="dxa"/>
            <w:gridSpan w:val="4"/>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合    计</w:t>
            </w:r>
          </w:p>
        </w:tc>
        <w:tc>
          <w:tcPr>
            <w:tcW w:w="1054"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ascii="宋体" w:hAnsi="宋体" w:eastAsia="宋体" w:cs="宋体"/>
                <w:b/>
                <w:i w:val="0"/>
                <w:color w:val="000000"/>
                <w:sz w:val="22"/>
                <w:szCs w:val="22"/>
                <w:highlight w:val="none"/>
                <w:u w:val="none"/>
              </w:rPr>
            </w:pPr>
            <w:r>
              <w:rPr>
                <w:rFonts w:ascii="宋体" w:hAnsi="宋体" w:eastAsia="宋体" w:cs="宋体"/>
                <w:b/>
                <w:i w:val="0"/>
                <w:color w:val="000000"/>
                <w:kern w:val="0"/>
                <w:sz w:val="22"/>
                <w:szCs w:val="22"/>
                <w:highlight w:val="none"/>
                <w:u w:val="none"/>
                <w:bdr w:val="none" w:color="auto" w:sz="0" w:space="0"/>
                <w:lang w:val="en-US" w:eastAsia="zh-CN" w:bidi="ar"/>
              </w:rPr>
              <w:t>27,987.59</w:t>
            </w:r>
          </w:p>
        </w:tc>
        <w:tc>
          <w:tcPr>
            <w:tcW w:w="105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ascii="宋体" w:hAnsi="宋体" w:eastAsia="宋体" w:cs="宋体"/>
                <w:b/>
                <w:i w:val="0"/>
                <w:color w:val="000000"/>
                <w:sz w:val="22"/>
                <w:szCs w:val="22"/>
                <w:highlight w:val="none"/>
                <w:u w:val="none"/>
              </w:rPr>
            </w:pPr>
            <w:r>
              <w:rPr>
                <w:rFonts w:ascii="宋体" w:hAnsi="宋体" w:eastAsia="宋体" w:cs="宋体"/>
                <w:b/>
                <w:i w:val="0"/>
                <w:color w:val="000000"/>
                <w:kern w:val="0"/>
                <w:sz w:val="22"/>
                <w:szCs w:val="22"/>
                <w:highlight w:val="none"/>
                <w:u w:val="none"/>
                <w:bdr w:val="none" w:color="auto" w:sz="0" w:space="0"/>
                <w:lang w:val="en-US" w:eastAsia="zh-CN" w:bidi="ar"/>
              </w:rPr>
              <w:t>227.34</w:t>
            </w:r>
          </w:p>
        </w:tc>
        <w:tc>
          <w:tcPr>
            <w:tcW w:w="1054"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ascii="宋体" w:hAnsi="宋体" w:eastAsia="宋体" w:cs="宋体"/>
                <w:b/>
                <w:i w:val="0"/>
                <w:color w:val="000000"/>
                <w:sz w:val="22"/>
                <w:szCs w:val="22"/>
                <w:highlight w:val="none"/>
                <w:u w:val="none"/>
              </w:rPr>
            </w:pPr>
            <w:r>
              <w:rPr>
                <w:rFonts w:ascii="宋体" w:hAnsi="宋体" w:eastAsia="宋体" w:cs="宋体"/>
                <w:b/>
                <w:i w:val="0"/>
                <w:color w:val="000000"/>
                <w:kern w:val="0"/>
                <w:sz w:val="22"/>
                <w:szCs w:val="22"/>
                <w:highlight w:val="none"/>
                <w:u w:val="none"/>
                <w:bdr w:val="none" w:color="auto" w:sz="0" w:space="0"/>
                <w:lang w:val="en-US" w:eastAsia="zh-CN" w:bidi="ar"/>
              </w:rPr>
              <w:t>23.25</w:t>
            </w:r>
          </w:p>
        </w:tc>
        <w:tc>
          <w:tcPr>
            <w:tcW w:w="1054"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ascii="宋体" w:hAnsi="宋体" w:eastAsia="宋体" w:cs="宋体"/>
                <w:b/>
                <w:i w:val="0"/>
                <w:color w:val="000000"/>
                <w:sz w:val="22"/>
                <w:szCs w:val="22"/>
                <w:highlight w:val="none"/>
                <w:u w:val="none"/>
              </w:rPr>
            </w:pPr>
            <w:r>
              <w:rPr>
                <w:rFonts w:ascii="宋体" w:hAnsi="宋体" w:eastAsia="宋体" w:cs="宋体"/>
                <w:b/>
                <w:i w:val="0"/>
                <w:color w:val="000000"/>
                <w:kern w:val="0"/>
                <w:sz w:val="22"/>
                <w:szCs w:val="22"/>
                <w:highlight w:val="none"/>
                <w:u w:val="none"/>
                <w:bdr w:val="none" w:color="auto" w:sz="0" w:space="0"/>
                <w:lang w:val="en-US" w:eastAsia="zh-CN" w:bidi="ar"/>
              </w:rPr>
              <w:t>27,737.00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493"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208</w:t>
            </w:r>
          </w:p>
        </w:tc>
        <w:tc>
          <w:tcPr>
            <w:tcW w:w="494"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494"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2634"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社会保障和就业支出</w:t>
            </w:r>
          </w:p>
        </w:tc>
        <w:tc>
          <w:tcPr>
            <w:tcW w:w="1054"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27,944.94</w:t>
            </w:r>
          </w:p>
        </w:tc>
        <w:tc>
          <w:tcPr>
            <w:tcW w:w="105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184.69</w:t>
            </w:r>
          </w:p>
        </w:tc>
        <w:tc>
          <w:tcPr>
            <w:tcW w:w="1054"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23.25</w:t>
            </w:r>
          </w:p>
        </w:tc>
        <w:tc>
          <w:tcPr>
            <w:tcW w:w="1054"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27,737.00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493"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494"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01</w:t>
            </w:r>
          </w:p>
        </w:tc>
        <w:tc>
          <w:tcPr>
            <w:tcW w:w="494"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2634"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人力资源和社会保障管理事务</w:t>
            </w:r>
          </w:p>
        </w:tc>
        <w:tc>
          <w:tcPr>
            <w:tcW w:w="1054"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322.21</w:t>
            </w:r>
          </w:p>
        </w:tc>
        <w:tc>
          <w:tcPr>
            <w:tcW w:w="105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148.96</w:t>
            </w:r>
          </w:p>
        </w:tc>
        <w:tc>
          <w:tcPr>
            <w:tcW w:w="1054"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23.25</w:t>
            </w:r>
          </w:p>
        </w:tc>
        <w:tc>
          <w:tcPr>
            <w:tcW w:w="1054"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493"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494"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494"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01</w:t>
            </w:r>
          </w:p>
        </w:tc>
        <w:tc>
          <w:tcPr>
            <w:tcW w:w="2634"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行政运行</w:t>
            </w:r>
          </w:p>
        </w:tc>
        <w:tc>
          <w:tcPr>
            <w:tcW w:w="1054"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172.21</w:t>
            </w:r>
          </w:p>
        </w:tc>
        <w:tc>
          <w:tcPr>
            <w:tcW w:w="1053"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148.96</w:t>
            </w:r>
          </w:p>
        </w:tc>
        <w:tc>
          <w:tcPr>
            <w:tcW w:w="1054"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23.25</w:t>
            </w:r>
          </w:p>
        </w:tc>
        <w:tc>
          <w:tcPr>
            <w:tcW w:w="1054"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493"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494"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494"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09</w:t>
            </w:r>
          </w:p>
        </w:tc>
        <w:tc>
          <w:tcPr>
            <w:tcW w:w="2634"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社会保险经办机构</w:t>
            </w:r>
          </w:p>
        </w:tc>
        <w:tc>
          <w:tcPr>
            <w:tcW w:w="1054"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150.00</w:t>
            </w:r>
          </w:p>
        </w:tc>
        <w:tc>
          <w:tcPr>
            <w:tcW w:w="1053"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54"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54"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493"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494"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05</w:t>
            </w:r>
          </w:p>
        </w:tc>
        <w:tc>
          <w:tcPr>
            <w:tcW w:w="494"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2634"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行政事业单位养老支出</w:t>
            </w:r>
          </w:p>
        </w:tc>
        <w:tc>
          <w:tcPr>
            <w:tcW w:w="1054"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35.73</w:t>
            </w:r>
          </w:p>
        </w:tc>
        <w:tc>
          <w:tcPr>
            <w:tcW w:w="105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35.73</w:t>
            </w:r>
          </w:p>
        </w:tc>
        <w:tc>
          <w:tcPr>
            <w:tcW w:w="1054"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54"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493"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494"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494"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05</w:t>
            </w:r>
          </w:p>
        </w:tc>
        <w:tc>
          <w:tcPr>
            <w:tcW w:w="2634"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机关事业单位基本养老保险缴费支出</w:t>
            </w:r>
          </w:p>
        </w:tc>
        <w:tc>
          <w:tcPr>
            <w:tcW w:w="1054"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18.62</w:t>
            </w:r>
          </w:p>
        </w:tc>
        <w:tc>
          <w:tcPr>
            <w:tcW w:w="1053"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18.62</w:t>
            </w:r>
          </w:p>
        </w:tc>
        <w:tc>
          <w:tcPr>
            <w:tcW w:w="1054"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54"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493"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494"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494"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06</w:t>
            </w:r>
          </w:p>
        </w:tc>
        <w:tc>
          <w:tcPr>
            <w:tcW w:w="2634"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机关事业单位职业年金缴费支出</w:t>
            </w:r>
          </w:p>
        </w:tc>
        <w:tc>
          <w:tcPr>
            <w:tcW w:w="1054"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9.31</w:t>
            </w:r>
          </w:p>
        </w:tc>
        <w:tc>
          <w:tcPr>
            <w:tcW w:w="1053"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9.31</w:t>
            </w:r>
          </w:p>
        </w:tc>
        <w:tc>
          <w:tcPr>
            <w:tcW w:w="1054"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54"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493"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494"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494"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99</w:t>
            </w:r>
          </w:p>
        </w:tc>
        <w:tc>
          <w:tcPr>
            <w:tcW w:w="2634"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其他行政事业单位养老支出</w:t>
            </w:r>
          </w:p>
        </w:tc>
        <w:tc>
          <w:tcPr>
            <w:tcW w:w="1054"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7.80</w:t>
            </w:r>
          </w:p>
        </w:tc>
        <w:tc>
          <w:tcPr>
            <w:tcW w:w="1053"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7.80</w:t>
            </w:r>
          </w:p>
        </w:tc>
        <w:tc>
          <w:tcPr>
            <w:tcW w:w="1054"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54"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493"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494"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26</w:t>
            </w:r>
          </w:p>
        </w:tc>
        <w:tc>
          <w:tcPr>
            <w:tcW w:w="494"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2634"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财政对基本养老保险基金的补助</w:t>
            </w:r>
          </w:p>
        </w:tc>
        <w:tc>
          <w:tcPr>
            <w:tcW w:w="1054"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27,189.00</w:t>
            </w:r>
          </w:p>
        </w:tc>
        <w:tc>
          <w:tcPr>
            <w:tcW w:w="105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54"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54"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27,189.00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493"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494"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494"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02</w:t>
            </w:r>
          </w:p>
        </w:tc>
        <w:tc>
          <w:tcPr>
            <w:tcW w:w="2634"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财政对城乡居民基本养老保险基金的补助</w:t>
            </w:r>
          </w:p>
        </w:tc>
        <w:tc>
          <w:tcPr>
            <w:tcW w:w="1054"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27,189.00</w:t>
            </w:r>
          </w:p>
        </w:tc>
        <w:tc>
          <w:tcPr>
            <w:tcW w:w="1053"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54"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54"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27,189.00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493"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494"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30</w:t>
            </w:r>
          </w:p>
        </w:tc>
        <w:tc>
          <w:tcPr>
            <w:tcW w:w="494"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2634"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财政代缴社会保险费支出</w:t>
            </w:r>
          </w:p>
        </w:tc>
        <w:tc>
          <w:tcPr>
            <w:tcW w:w="1054"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398.00</w:t>
            </w:r>
          </w:p>
        </w:tc>
        <w:tc>
          <w:tcPr>
            <w:tcW w:w="105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54"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54"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398.00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493"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494"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494"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01</w:t>
            </w:r>
          </w:p>
        </w:tc>
        <w:tc>
          <w:tcPr>
            <w:tcW w:w="2634"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财政代缴城乡居民基本养老保险费支出</w:t>
            </w:r>
          </w:p>
        </w:tc>
        <w:tc>
          <w:tcPr>
            <w:tcW w:w="1054"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398.00</w:t>
            </w:r>
          </w:p>
        </w:tc>
        <w:tc>
          <w:tcPr>
            <w:tcW w:w="1053"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54"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54"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398.00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493"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210</w:t>
            </w:r>
          </w:p>
        </w:tc>
        <w:tc>
          <w:tcPr>
            <w:tcW w:w="494"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494"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2634"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卫生健康支出</w:t>
            </w:r>
          </w:p>
        </w:tc>
        <w:tc>
          <w:tcPr>
            <w:tcW w:w="1054"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25.50</w:t>
            </w:r>
          </w:p>
        </w:tc>
        <w:tc>
          <w:tcPr>
            <w:tcW w:w="105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25.50</w:t>
            </w:r>
          </w:p>
        </w:tc>
        <w:tc>
          <w:tcPr>
            <w:tcW w:w="1054"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54"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493"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494"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11</w:t>
            </w:r>
          </w:p>
        </w:tc>
        <w:tc>
          <w:tcPr>
            <w:tcW w:w="494"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2634"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行政事业单位医疗</w:t>
            </w:r>
          </w:p>
        </w:tc>
        <w:tc>
          <w:tcPr>
            <w:tcW w:w="1054"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25.50</w:t>
            </w:r>
          </w:p>
        </w:tc>
        <w:tc>
          <w:tcPr>
            <w:tcW w:w="105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25.50</w:t>
            </w:r>
          </w:p>
        </w:tc>
        <w:tc>
          <w:tcPr>
            <w:tcW w:w="1054"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54"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493"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494"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494"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01</w:t>
            </w:r>
          </w:p>
        </w:tc>
        <w:tc>
          <w:tcPr>
            <w:tcW w:w="2634"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行政单位医疗</w:t>
            </w:r>
          </w:p>
        </w:tc>
        <w:tc>
          <w:tcPr>
            <w:tcW w:w="1054"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10.39</w:t>
            </w:r>
          </w:p>
        </w:tc>
        <w:tc>
          <w:tcPr>
            <w:tcW w:w="1053"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10.39</w:t>
            </w:r>
          </w:p>
        </w:tc>
        <w:tc>
          <w:tcPr>
            <w:tcW w:w="1054"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54"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493"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494"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494"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03</w:t>
            </w:r>
          </w:p>
        </w:tc>
        <w:tc>
          <w:tcPr>
            <w:tcW w:w="2634"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公务员医疗补助</w:t>
            </w:r>
          </w:p>
        </w:tc>
        <w:tc>
          <w:tcPr>
            <w:tcW w:w="1054"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14.15</w:t>
            </w:r>
          </w:p>
        </w:tc>
        <w:tc>
          <w:tcPr>
            <w:tcW w:w="1053"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14.15</w:t>
            </w:r>
          </w:p>
        </w:tc>
        <w:tc>
          <w:tcPr>
            <w:tcW w:w="1054"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54"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493"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494"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494"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99</w:t>
            </w:r>
          </w:p>
        </w:tc>
        <w:tc>
          <w:tcPr>
            <w:tcW w:w="2634"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其他行政事业单位医疗支出</w:t>
            </w:r>
          </w:p>
        </w:tc>
        <w:tc>
          <w:tcPr>
            <w:tcW w:w="1054"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0.96</w:t>
            </w:r>
          </w:p>
        </w:tc>
        <w:tc>
          <w:tcPr>
            <w:tcW w:w="1053"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0.96</w:t>
            </w:r>
          </w:p>
        </w:tc>
        <w:tc>
          <w:tcPr>
            <w:tcW w:w="1054"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54"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493"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221</w:t>
            </w:r>
          </w:p>
        </w:tc>
        <w:tc>
          <w:tcPr>
            <w:tcW w:w="494"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494"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2634"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住房保障支出</w:t>
            </w:r>
          </w:p>
        </w:tc>
        <w:tc>
          <w:tcPr>
            <w:tcW w:w="1054"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17.15</w:t>
            </w:r>
          </w:p>
        </w:tc>
        <w:tc>
          <w:tcPr>
            <w:tcW w:w="105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17.15</w:t>
            </w:r>
          </w:p>
        </w:tc>
        <w:tc>
          <w:tcPr>
            <w:tcW w:w="1054"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54"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493"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494"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02</w:t>
            </w:r>
          </w:p>
        </w:tc>
        <w:tc>
          <w:tcPr>
            <w:tcW w:w="494"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2634"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住房改革支出</w:t>
            </w:r>
          </w:p>
        </w:tc>
        <w:tc>
          <w:tcPr>
            <w:tcW w:w="1054"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17.15</w:t>
            </w:r>
          </w:p>
        </w:tc>
        <w:tc>
          <w:tcPr>
            <w:tcW w:w="105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17.15</w:t>
            </w:r>
          </w:p>
        </w:tc>
        <w:tc>
          <w:tcPr>
            <w:tcW w:w="1054"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54"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493"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494"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494"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01</w:t>
            </w:r>
          </w:p>
        </w:tc>
        <w:tc>
          <w:tcPr>
            <w:tcW w:w="2634"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住房公积金</w:t>
            </w:r>
          </w:p>
        </w:tc>
        <w:tc>
          <w:tcPr>
            <w:tcW w:w="1054"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16.98</w:t>
            </w:r>
          </w:p>
        </w:tc>
        <w:tc>
          <w:tcPr>
            <w:tcW w:w="1053"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16.98</w:t>
            </w:r>
          </w:p>
        </w:tc>
        <w:tc>
          <w:tcPr>
            <w:tcW w:w="1054"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54"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493"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494"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494" w:type="dxa"/>
            <w:tcBorders>
              <w:top w:val="single" w:color="C2C3C4" w:sz="4" w:space="0"/>
              <w:left w:val="single" w:color="C2C3C4" w:sz="4" w:space="0"/>
              <w:bottom w:val="single" w:color="C2C3C4" w:sz="4" w:space="0"/>
              <w:right w:val="single" w:color="C2C3C4" w:sz="4" w:space="0"/>
            </w:tcBorders>
            <w:shd w:val="clear" w:color="FFFFFF" w:fill="FFFFFF"/>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03</w:t>
            </w:r>
          </w:p>
        </w:tc>
        <w:tc>
          <w:tcPr>
            <w:tcW w:w="2634" w:type="dxa"/>
            <w:tcBorders>
              <w:top w:val="single" w:color="C2C3C4" w:sz="4" w:space="0"/>
              <w:left w:val="single" w:color="C2C3C4" w:sz="4" w:space="0"/>
              <w:bottom w:val="single" w:color="C2C3C4" w:sz="4" w:space="0"/>
              <w:right w:val="single" w:color="C2C3C4" w:sz="4" w:space="0"/>
            </w:tcBorders>
            <w:shd w:val="clear" w:color="FFFFFF" w:fill="FFFFFF"/>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购房补贴</w:t>
            </w:r>
          </w:p>
        </w:tc>
        <w:tc>
          <w:tcPr>
            <w:tcW w:w="1054"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0.17</w:t>
            </w:r>
          </w:p>
        </w:tc>
        <w:tc>
          <w:tcPr>
            <w:tcW w:w="1053"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0.17</w:t>
            </w:r>
          </w:p>
        </w:tc>
        <w:tc>
          <w:tcPr>
            <w:tcW w:w="1054"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054" w:type="dxa"/>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r>
    </w:tbl>
    <w:p>
      <w:pPr>
        <w:pStyle w:val="7"/>
        <w:numPr>
          <w:ilvl w:val="0"/>
          <w:numId w:val="0"/>
        </w:numPr>
        <w:tabs>
          <w:tab w:val="left" w:pos="526"/>
        </w:tabs>
        <w:jc w:val="left"/>
        <w:rPr>
          <w:rFonts w:hint="eastAsia" w:ascii="黑体" w:hAnsi="黑体" w:eastAsia="黑体" w:cs="黑体"/>
          <w:sz w:val="30"/>
          <w:szCs w:val="30"/>
          <w:highlight w:val="none"/>
          <w:lang w:eastAsia="zh-CN"/>
        </w:rPr>
      </w:pPr>
    </w:p>
    <w:p>
      <w:pPr>
        <w:pStyle w:val="7"/>
        <w:numPr>
          <w:ilvl w:val="0"/>
          <w:numId w:val="0"/>
        </w:numPr>
        <w:tabs>
          <w:tab w:val="left" w:pos="526"/>
        </w:tabs>
        <w:ind w:leftChars="200"/>
        <w:jc w:val="left"/>
        <w:rPr>
          <w:rFonts w:hint="eastAsia" w:ascii="黑体" w:hAnsi="黑体" w:eastAsia="黑体" w:cs="黑体"/>
          <w:sz w:val="30"/>
          <w:szCs w:val="30"/>
          <w:highlight w:val="none"/>
        </w:rPr>
      </w:pPr>
      <w:r>
        <w:rPr>
          <w:rFonts w:hint="eastAsia" w:ascii="黑体" w:hAnsi="黑体" w:eastAsia="黑体" w:cs="黑体"/>
          <w:sz w:val="30"/>
          <w:szCs w:val="30"/>
          <w:highlight w:val="none"/>
          <w:lang w:eastAsia="zh-CN"/>
        </w:rPr>
        <w:t>十、</w:t>
      </w:r>
      <w:r>
        <w:rPr>
          <w:rFonts w:hint="eastAsia" w:ascii="黑体" w:hAnsi="黑体" w:eastAsia="黑体" w:cs="黑体"/>
          <w:sz w:val="30"/>
          <w:szCs w:val="30"/>
          <w:highlight w:val="none"/>
        </w:rPr>
        <w:t>项目支出绩效信息表</w:t>
      </w:r>
    </w:p>
    <w:tbl>
      <w:tblPr>
        <w:tblW w:w="8469" w:type="dxa"/>
        <w:tblInd w:w="4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518"/>
        <w:gridCol w:w="1575"/>
        <w:gridCol w:w="378"/>
        <w:gridCol w:w="659"/>
        <w:gridCol w:w="1824"/>
        <w:gridCol w:w="549"/>
        <w:gridCol w:w="497"/>
        <w:gridCol w:w="1183"/>
        <w:gridCol w:w="240"/>
        <w:gridCol w:w="439"/>
        <w:gridCol w:w="289"/>
        <w:gridCol w:w="80"/>
        <w:gridCol w:w="28"/>
        <w:gridCol w:w="2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gridAfter w:val="2"/>
          <w:wAfter w:w="238" w:type="dxa"/>
          <w:trHeight w:val="398" w:hRule="atLeast"/>
        </w:trPr>
        <w:tc>
          <w:tcPr>
            <w:tcW w:w="8231" w:type="dxa"/>
            <w:gridSpan w:val="12"/>
            <w:tcBorders>
              <w:top w:val="single" w:color="FFFFFF" w:sz="4" w:space="0"/>
              <w:left w:val="single" w:color="FFFFFF" w:sz="4" w:space="0"/>
              <w:bottom w:val="single" w:color="FFFFFF" w:sz="4" w:space="0"/>
              <w:right w:val="single" w:color="FFFFFF" w:sz="4" w:space="0"/>
            </w:tcBorders>
            <w:shd w:val="clear"/>
            <w:noWrap/>
            <w:tcMar>
              <w:top w:w="12" w:type="dxa"/>
              <w:left w:w="12" w:type="dxa"/>
              <w:right w:w="12" w:type="dxa"/>
            </w:tcMar>
            <w:vAlign w:val="center"/>
          </w:tcPr>
          <w:p>
            <w:pPr>
              <w:keepNext w:val="0"/>
              <w:keepLines w:val="0"/>
              <w:widowControl/>
              <w:suppressLineNumbers w:val="0"/>
              <w:jc w:val="center"/>
              <w:textAlignment w:val="center"/>
              <w:rPr>
                <w:rFonts w:ascii="黑体" w:hAnsi="宋体" w:eastAsia="黑体" w:cs="黑体"/>
                <w:b/>
                <w:i w:val="0"/>
                <w:color w:val="000000"/>
                <w:sz w:val="32"/>
                <w:szCs w:val="32"/>
                <w:highlight w:val="none"/>
                <w:u w:val="none"/>
              </w:rPr>
            </w:pPr>
            <w:r>
              <w:rPr>
                <w:rFonts w:hint="eastAsia" w:ascii="黑体" w:hAnsi="宋体" w:eastAsia="黑体" w:cs="黑体"/>
                <w:b/>
                <w:i w:val="0"/>
                <w:color w:val="000000"/>
                <w:kern w:val="0"/>
                <w:sz w:val="32"/>
                <w:szCs w:val="32"/>
                <w:highlight w:val="none"/>
                <w:u w:val="none"/>
                <w:bdr w:val="none" w:color="auto" w:sz="0" w:space="0"/>
                <w:lang w:val="en-US" w:eastAsia="zh-CN" w:bidi="ar"/>
              </w:rPr>
              <w:t>项目支出绩效信息表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210" w:type="dxa"/>
          <w:trHeight w:val="341" w:hRule="atLeast"/>
        </w:trPr>
        <w:tc>
          <w:tcPr>
            <w:tcW w:w="8259" w:type="dxa"/>
            <w:gridSpan w:val="13"/>
            <w:tcBorders>
              <w:top w:val="single" w:color="FFFFFF" w:sz="4" w:space="0"/>
              <w:left w:val="single" w:color="FFFFFF" w:sz="4" w:space="0"/>
              <w:bottom w:val="nil"/>
              <w:right w:val="single" w:color="FFFFFF" w:sz="4" w:space="0"/>
            </w:tcBorders>
            <w:shd w:val="clear"/>
            <w:tcMar>
              <w:top w:w="12" w:type="dxa"/>
              <w:left w:w="12" w:type="dxa"/>
              <w:right w:w="12" w:type="dxa"/>
            </w:tcMar>
            <w:vAlign w:val="center"/>
          </w:tcPr>
          <w:p>
            <w:pPr>
              <w:keepNext w:val="0"/>
              <w:keepLines w:val="0"/>
              <w:widowControl/>
              <w:suppressLineNumbers w:val="0"/>
              <w:jc w:val="right"/>
              <w:textAlignment w:val="center"/>
              <w:rPr>
                <w:rFonts w:ascii="宋体" w:hAnsi="宋体" w:eastAsia="宋体" w:cs="宋体"/>
                <w:i w:val="0"/>
                <w:color w:val="000000"/>
                <w:sz w:val="22"/>
                <w:szCs w:val="22"/>
                <w:highlight w:val="none"/>
                <w:u w:val="none"/>
              </w:rPr>
            </w:pPr>
            <w:r>
              <w:rPr>
                <w:rFonts w:ascii="宋体" w:hAnsi="宋体" w:eastAsia="宋体" w:cs="宋体"/>
                <w:i w:val="0"/>
                <w:color w:val="000000"/>
                <w:kern w:val="0"/>
                <w:sz w:val="22"/>
                <w:szCs w:val="22"/>
                <w:highlight w:val="none"/>
                <w:u w:val="none"/>
                <w:bdr w:val="none" w:color="auto" w:sz="0" w:space="0"/>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7" w:hRule="atLeast"/>
        </w:trPr>
        <w:tc>
          <w:tcPr>
            <w:tcW w:w="518" w:type="dxa"/>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单位名称</w:t>
            </w:r>
          </w:p>
        </w:tc>
        <w:tc>
          <w:tcPr>
            <w:tcW w:w="1575" w:type="dxa"/>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项目名称</w:t>
            </w:r>
          </w:p>
        </w:tc>
        <w:tc>
          <w:tcPr>
            <w:tcW w:w="378" w:type="dxa"/>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预算执行率权重（%）</w:t>
            </w:r>
          </w:p>
        </w:tc>
        <w:tc>
          <w:tcPr>
            <w:tcW w:w="659" w:type="dxa"/>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预算数</w:t>
            </w:r>
          </w:p>
        </w:tc>
        <w:tc>
          <w:tcPr>
            <w:tcW w:w="1824" w:type="dxa"/>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绩效目标</w:t>
            </w:r>
          </w:p>
        </w:tc>
        <w:tc>
          <w:tcPr>
            <w:tcW w:w="549" w:type="dxa"/>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一级指标</w:t>
            </w:r>
          </w:p>
        </w:tc>
        <w:tc>
          <w:tcPr>
            <w:tcW w:w="497" w:type="dxa"/>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二级指标</w:t>
            </w:r>
          </w:p>
        </w:tc>
        <w:tc>
          <w:tcPr>
            <w:tcW w:w="1183" w:type="dxa"/>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三级指标</w:t>
            </w:r>
          </w:p>
        </w:tc>
        <w:tc>
          <w:tcPr>
            <w:tcW w:w="240" w:type="dxa"/>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绩效指标性质</w:t>
            </w:r>
          </w:p>
        </w:tc>
        <w:tc>
          <w:tcPr>
            <w:tcW w:w="439" w:type="dxa"/>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本年绩效指标值</w:t>
            </w:r>
          </w:p>
        </w:tc>
        <w:tc>
          <w:tcPr>
            <w:tcW w:w="289" w:type="dxa"/>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绩效度量单位</w:t>
            </w:r>
          </w:p>
        </w:tc>
        <w:tc>
          <w:tcPr>
            <w:tcW w:w="318" w:type="dxa"/>
            <w:gridSpan w:val="3"/>
            <w:tcBorders>
              <w:top w:val="single" w:color="C2C3C4" w:sz="4" w:space="0"/>
              <w:left w:val="single" w:color="C2C3C4" w:sz="4" w:space="0"/>
              <w:bottom w:val="single" w:color="C2C3C4" w:sz="4" w:space="0"/>
              <w:right w:val="single" w:color="C2C3C4" w:sz="4" w:space="0"/>
            </w:tcBorders>
            <w:shd w:val="clear" w:color="EFF2F7" w:fill="EFF2F7"/>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bdr w:val="none" w:color="auto" w:sz="0" w:space="0"/>
                <w:lang w:val="en-US" w:eastAsia="zh-CN" w:bidi="ar"/>
              </w:rPr>
              <w:t>本年权重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18" w:type="dxa"/>
            <w:vMerge w:val="restart"/>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201016-海口市农村社会养老保险局</w:t>
            </w:r>
          </w:p>
        </w:tc>
        <w:tc>
          <w:tcPr>
            <w:tcW w:w="1575" w:type="dxa"/>
            <w:vMerge w:val="restart"/>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46000021R000000006640-工资奖金津补贴</w:t>
            </w:r>
          </w:p>
        </w:tc>
        <w:tc>
          <w:tcPr>
            <w:tcW w:w="378" w:type="dxa"/>
            <w:vMerge w:val="restart"/>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10.00</w:t>
            </w:r>
          </w:p>
        </w:tc>
        <w:tc>
          <w:tcPr>
            <w:tcW w:w="659" w:type="dxa"/>
            <w:vMerge w:val="restart"/>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147.25</w:t>
            </w:r>
          </w:p>
        </w:tc>
        <w:tc>
          <w:tcPr>
            <w:tcW w:w="1824" w:type="dxa"/>
            <w:vMerge w:val="restart"/>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严格执行相关政策，保障工资及时、足额发放或社保及时、足额缴纳，预算编制科学合理，减少结余资金。</w:t>
            </w:r>
          </w:p>
        </w:tc>
        <w:tc>
          <w:tcPr>
            <w:tcW w:w="54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产出指标</w:t>
            </w:r>
          </w:p>
        </w:tc>
        <w:tc>
          <w:tcPr>
            <w:tcW w:w="497"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数量指标</w:t>
            </w:r>
          </w:p>
        </w:tc>
        <w:tc>
          <w:tcPr>
            <w:tcW w:w="11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发放（缴纳）覆盖率</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4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100</w:t>
            </w:r>
          </w:p>
        </w:tc>
        <w:tc>
          <w:tcPr>
            <w:tcW w:w="28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318" w:type="dxa"/>
            <w:gridSpan w:val="3"/>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18"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575"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378"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659"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24"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54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产出指标</w:t>
            </w:r>
          </w:p>
        </w:tc>
        <w:tc>
          <w:tcPr>
            <w:tcW w:w="497"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质量指标</w:t>
            </w:r>
          </w:p>
        </w:tc>
        <w:tc>
          <w:tcPr>
            <w:tcW w:w="11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标准执行率</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4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100</w:t>
            </w:r>
          </w:p>
        </w:tc>
        <w:tc>
          <w:tcPr>
            <w:tcW w:w="28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318" w:type="dxa"/>
            <w:gridSpan w:val="3"/>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18"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575"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378"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659"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24"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54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产出指标</w:t>
            </w:r>
          </w:p>
        </w:tc>
        <w:tc>
          <w:tcPr>
            <w:tcW w:w="497"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质量指标</w:t>
            </w:r>
          </w:p>
        </w:tc>
        <w:tc>
          <w:tcPr>
            <w:tcW w:w="11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科目调整次数</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4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5</w:t>
            </w:r>
          </w:p>
        </w:tc>
        <w:tc>
          <w:tcPr>
            <w:tcW w:w="28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次</w:t>
            </w:r>
          </w:p>
        </w:tc>
        <w:tc>
          <w:tcPr>
            <w:tcW w:w="318" w:type="dxa"/>
            <w:gridSpan w:val="3"/>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18"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575"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378"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659"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24"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54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效益指标</w:t>
            </w:r>
          </w:p>
        </w:tc>
        <w:tc>
          <w:tcPr>
            <w:tcW w:w="497"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社会效益指标</w:t>
            </w:r>
          </w:p>
        </w:tc>
        <w:tc>
          <w:tcPr>
            <w:tcW w:w="11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足额保障率（参保率）</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4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100</w:t>
            </w:r>
          </w:p>
        </w:tc>
        <w:tc>
          <w:tcPr>
            <w:tcW w:w="28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318" w:type="dxa"/>
            <w:gridSpan w:val="3"/>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18"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575" w:type="dxa"/>
            <w:vMerge w:val="restart"/>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46000021R000000006642-养老保险</w:t>
            </w:r>
          </w:p>
        </w:tc>
        <w:tc>
          <w:tcPr>
            <w:tcW w:w="378" w:type="dxa"/>
            <w:vMerge w:val="restart"/>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10.00</w:t>
            </w:r>
          </w:p>
        </w:tc>
        <w:tc>
          <w:tcPr>
            <w:tcW w:w="659" w:type="dxa"/>
            <w:vMerge w:val="restart"/>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18.62</w:t>
            </w:r>
          </w:p>
        </w:tc>
        <w:tc>
          <w:tcPr>
            <w:tcW w:w="1824" w:type="dxa"/>
            <w:vMerge w:val="restart"/>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严格执行相关政策，保障工资及时、足额发放或社保及时、足额缴纳，预算编制科学合理，减少结余资金。</w:t>
            </w:r>
          </w:p>
        </w:tc>
        <w:tc>
          <w:tcPr>
            <w:tcW w:w="54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产出指标</w:t>
            </w:r>
          </w:p>
        </w:tc>
        <w:tc>
          <w:tcPr>
            <w:tcW w:w="497"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数量指标</w:t>
            </w:r>
          </w:p>
        </w:tc>
        <w:tc>
          <w:tcPr>
            <w:tcW w:w="11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发放（缴纳）覆盖率</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4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100</w:t>
            </w:r>
          </w:p>
        </w:tc>
        <w:tc>
          <w:tcPr>
            <w:tcW w:w="28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318" w:type="dxa"/>
            <w:gridSpan w:val="3"/>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18"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575"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378"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659"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24"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54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产出指标</w:t>
            </w:r>
          </w:p>
        </w:tc>
        <w:tc>
          <w:tcPr>
            <w:tcW w:w="497"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质量指标</w:t>
            </w:r>
          </w:p>
        </w:tc>
        <w:tc>
          <w:tcPr>
            <w:tcW w:w="11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标准执行率</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4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100</w:t>
            </w:r>
          </w:p>
        </w:tc>
        <w:tc>
          <w:tcPr>
            <w:tcW w:w="28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318" w:type="dxa"/>
            <w:gridSpan w:val="3"/>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18"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575"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378"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659"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24"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54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产出指标</w:t>
            </w:r>
          </w:p>
        </w:tc>
        <w:tc>
          <w:tcPr>
            <w:tcW w:w="497"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质量指标</w:t>
            </w:r>
          </w:p>
        </w:tc>
        <w:tc>
          <w:tcPr>
            <w:tcW w:w="11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科目调整次数</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4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5</w:t>
            </w:r>
          </w:p>
        </w:tc>
        <w:tc>
          <w:tcPr>
            <w:tcW w:w="28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次</w:t>
            </w:r>
          </w:p>
        </w:tc>
        <w:tc>
          <w:tcPr>
            <w:tcW w:w="318" w:type="dxa"/>
            <w:gridSpan w:val="3"/>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18"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575"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378"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659"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24"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54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效益指标</w:t>
            </w:r>
          </w:p>
        </w:tc>
        <w:tc>
          <w:tcPr>
            <w:tcW w:w="497"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社会效益指标</w:t>
            </w:r>
          </w:p>
        </w:tc>
        <w:tc>
          <w:tcPr>
            <w:tcW w:w="11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足额保障率（参保率）</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4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100</w:t>
            </w:r>
          </w:p>
        </w:tc>
        <w:tc>
          <w:tcPr>
            <w:tcW w:w="28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318" w:type="dxa"/>
            <w:gridSpan w:val="3"/>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18"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575" w:type="dxa"/>
            <w:vMerge w:val="restart"/>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46000021R000000006643-职业年金</w:t>
            </w:r>
          </w:p>
        </w:tc>
        <w:tc>
          <w:tcPr>
            <w:tcW w:w="378" w:type="dxa"/>
            <w:vMerge w:val="restart"/>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10.00</w:t>
            </w:r>
          </w:p>
        </w:tc>
        <w:tc>
          <w:tcPr>
            <w:tcW w:w="659" w:type="dxa"/>
            <w:vMerge w:val="restart"/>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9.31</w:t>
            </w:r>
          </w:p>
        </w:tc>
        <w:tc>
          <w:tcPr>
            <w:tcW w:w="1824" w:type="dxa"/>
            <w:vMerge w:val="restart"/>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严格执行相关政策，保障工资及时、足额发放或社保及时、足额缴纳，预算编制科学合理，减少结余资金。</w:t>
            </w:r>
          </w:p>
        </w:tc>
        <w:tc>
          <w:tcPr>
            <w:tcW w:w="54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产出指标</w:t>
            </w:r>
          </w:p>
        </w:tc>
        <w:tc>
          <w:tcPr>
            <w:tcW w:w="497"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数量指标</w:t>
            </w:r>
          </w:p>
        </w:tc>
        <w:tc>
          <w:tcPr>
            <w:tcW w:w="11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发放（缴纳）覆盖率</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4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100</w:t>
            </w:r>
          </w:p>
        </w:tc>
        <w:tc>
          <w:tcPr>
            <w:tcW w:w="28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318" w:type="dxa"/>
            <w:gridSpan w:val="3"/>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18"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575"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378"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659"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24"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54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产出指标</w:t>
            </w:r>
          </w:p>
        </w:tc>
        <w:tc>
          <w:tcPr>
            <w:tcW w:w="497"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质量指标</w:t>
            </w:r>
          </w:p>
        </w:tc>
        <w:tc>
          <w:tcPr>
            <w:tcW w:w="11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标准执行率</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4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100</w:t>
            </w:r>
          </w:p>
        </w:tc>
        <w:tc>
          <w:tcPr>
            <w:tcW w:w="28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318" w:type="dxa"/>
            <w:gridSpan w:val="3"/>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18"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575"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378"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659"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24"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54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产出指标</w:t>
            </w:r>
          </w:p>
        </w:tc>
        <w:tc>
          <w:tcPr>
            <w:tcW w:w="497"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质量指标</w:t>
            </w:r>
          </w:p>
        </w:tc>
        <w:tc>
          <w:tcPr>
            <w:tcW w:w="11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科目调整次数</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4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5</w:t>
            </w:r>
          </w:p>
        </w:tc>
        <w:tc>
          <w:tcPr>
            <w:tcW w:w="28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次</w:t>
            </w:r>
          </w:p>
        </w:tc>
        <w:tc>
          <w:tcPr>
            <w:tcW w:w="318" w:type="dxa"/>
            <w:gridSpan w:val="3"/>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18"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575"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378"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659"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24"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54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效益指标</w:t>
            </w:r>
          </w:p>
        </w:tc>
        <w:tc>
          <w:tcPr>
            <w:tcW w:w="497"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社会效益指标</w:t>
            </w:r>
          </w:p>
        </w:tc>
        <w:tc>
          <w:tcPr>
            <w:tcW w:w="11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足额保障率（参保率）</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4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100</w:t>
            </w:r>
          </w:p>
        </w:tc>
        <w:tc>
          <w:tcPr>
            <w:tcW w:w="28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318" w:type="dxa"/>
            <w:gridSpan w:val="3"/>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18"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575" w:type="dxa"/>
            <w:vMerge w:val="restart"/>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46000021R000000006644-医疗保险</w:t>
            </w:r>
          </w:p>
        </w:tc>
        <w:tc>
          <w:tcPr>
            <w:tcW w:w="378" w:type="dxa"/>
            <w:vMerge w:val="restart"/>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10.00</w:t>
            </w:r>
          </w:p>
        </w:tc>
        <w:tc>
          <w:tcPr>
            <w:tcW w:w="659" w:type="dxa"/>
            <w:vMerge w:val="restart"/>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10.39</w:t>
            </w:r>
          </w:p>
        </w:tc>
        <w:tc>
          <w:tcPr>
            <w:tcW w:w="1824" w:type="dxa"/>
            <w:vMerge w:val="restart"/>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严格执行相关政策，保障工资及时、足额发放或社保及时、足额缴纳，预算编制科学合理，减少结余资金。</w:t>
            </w:r>
          </w:p>
        </w:tc>
        <w:tc>
          <w:tcPr>
            <w:tcW w:w="54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产出指标</w:t>
            </w:r>
          </w:p>
        </w:tc>
        <w:tc>
          <w:tcPr>
            <w:tcW w:w="497"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数量指标</w:t>
            </w:r>
          </w:p>
        </w:tc>
        <w:tc>
          <w:tcPr>
            <w:tcW w:w="11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发放（缴纳）覆盖率</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4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100</w:t>
            </w:r>
          </w:p>
        </w:tc>
        <w:tc>
          <w:tcPr>
            <w:tcW w:w="28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318" w:type="dxa"/>
            <w:gridSpan w:val="3"/>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18"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575"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378"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659"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24"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54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产出指标</w:t>
            </w:r>
          </w:p>
        </w:tc>
        <w:tc>
          <w:tcPr>
            <w:tcW w:w="497"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质量指标</w:t>
            </w:r>
          </w:p>
        </w:tc>
        <w:tc>
          <w:tcPr>
            <w:tcW w:w="11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标准执行率</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4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100</w:t>
            </w:r>
          </w:p>
        </w:tc>
        <w:tc>
          <w:tcPr>
            <w:tcW w:w="28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318" w:type="dxa"/>
            <w:gridSpan w:val="3"/>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18"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575"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378"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659"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24"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54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产出指标</w:t>
            </w:r>
          </w:p>
        </w:tc>
        <w:tc>
          <w:tcPr>
            <w:tcW w:w="497"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质量指标</w:t>
            </w:r>
          </w:p>
        </w:tc>
        <w:tc>
          <w:tcPr>
            <w:tcW w:w="11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科目调整次数</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4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5</w:t>
            </w:r>
          </w:p>
        </w:tc>
        <w:tc>
          <w:tcPr>
            <w:tcW w:w="28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次</w:t>
            </w:r>
          </w:p>
        </w:tc>
        <w:tc>
          <w:tcPr>
            <w:tcW w:w="318" w:type="dxa"/>
            <w:gridSpan w:val="3"/>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18"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575"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378"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659"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24"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54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效益指标</w:t>
            </w:r>
          </w:p>
        </w:tc>
        <w:tc>
          <w:tcPr>
            <w:tcW w:w="497"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社会效益指标</w:t>
            </w:r>
          </w:p>
        </w:tc>
        <w:tc>
          <w:tcPr>
            <w:tcW w:w="11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足额保障率（参保率）</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4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100</w:t>
            </w:r>
          </w:p>
        </w:tc>
        <w:tc>
          <w:tcPr>
            <w:tcW w:w="28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318" w:type="dxa"/>
            <w:gridSpan w:val="3"/>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18"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575" w:type="dxa"/>
            <w:vMerge w:val="restart"/>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46000021R000000006645-公务员医疗补助</w:t>
            </w:r>
          </w:p>
        </w:tc>
        <w:tc>
          <w:tcPr>
            <w:tcW w:w="378" w:type="dxa"/>
            <w:vMerge w:val="restart"/>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10.00</w:t>
            </w:r>
          </w:p>
        </w:tc>
        <w:tc>
          <w:tcPr>
            <w:tcW w:w="659" w:type="dxa"/>
            <w:vMerge w:val="restart"/>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21.95</w:t>
            </w:r>
          </w:p>
        </w:tc>
        <w:tc>
          <w:tcPr>
            <w:tcW w:w="1824" w:type="dxa"/>
            <w:vMerge w:val="restart"/>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严格执行相关政策，保障工资及时、足额发放或社保及时、足额缴纳，预算编制科学合理，减少结余资金。</w:t>
            </w:r>
          </w:p>
        </w:tc>
        <w:tc>
          <w:tcPr>
            <w:tcW w:w="54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产出指标</w:t>
            </w:r>
          </w:p>
        </w:tc>
        <w:tc>
          <w:tcPr>
            <w:tcW w:w="497"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数量指标</w:t>
            </w:r>
          </w:p>
        </w:tc>
        <w:tc>
          <w:tcPr>
            <w:tcW w:w="11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发放（缴纳）覆盖率</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4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100</w:t>
            </w:r>
          </w:p>
        </w:tc>
        <w:tc>
          <w:tcPr>
            <w:tcW w:w="28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318" w:type="dxa"/>
            <w:gridSpan w:val="3"/>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18"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575"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378"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659"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24"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54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产出指标</w:t>
            </w:r>
          </w:p>
        </w:tc>
        <w:tc>
          <w:tcPr>
            <w:tcW w:w="497"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质量指标</w:t>
            </w:r>
          </w:p>
        </w:tc>
        <w:tc>
          <w:tcPr>
            <w:tcW w:w="11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标准执行率</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4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100</w:t>
            </w:r>
          </w:p>
        </w:tc>
        <w:tc>
          <w:tcPr>
            <w:tcW w:w="28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318" w:type="dxa"/>
            <w:gridSpan w:val="3"/>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18"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575"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378"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659"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24"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54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产出指标</w:t>
            </w:r>
          </w:p>
        </w:tc>
        <w:tc>
          <w:tcPr>
            <w:tcW w:w="497"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质量指标</w:t>
            </w:r>
          </w:p>
        </w:tc>
        <w:tc>
          <w:tcPr>
            <w:tcW w:w="11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科目调整次数</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4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5</w:t>
            </w:r>
          </w:p>
        </w:tc>
        <w:tc>
          <w:tcPr>
            <w:tcW w:w="28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次</w:t>
            </w:r>
          </w:p>
        </w:tc>
        <w:tc>
          <w:tcPr>
            <w:tcW w:w="318" w:type="dxa"/>
            <w:gridSpan w:val="3"/>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18"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575"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378"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659"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24"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54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效益指标</w:t>
            </w:r>
          </w:p>
        </w:tc>
        <w:tc>
          <w:tcPr>
            <w:tcW w:w="497"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社会效益指标</w:t>
            </w:r>
          </w:p>
        </w:tc>
        <w:tc>
          <w:tcPr>
            <w:tcW w:w="11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足额保障率（参保率）</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4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100</w:t>
            </w:r>
          </w:p>
        </w:tc>
        <w:tc>
          <w:tcPr>
            <w:tcW w:w="28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318" w:type="dxa"/>
            <w:gridSpan w:val="3"/>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18"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575" w:type="dxa"/>
            <w:vMerge w:val="restart"/>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46000021R000000006646-失业保险</w:t>
            </w:r>
          </w:p>
        </w:tc>
        <w:tc>
          <w:tcPr>
            <w:tcW w:w="378" w:type="dxa"/>
            <w:vMerge w:val="restart"/>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10.00</w:t>
            </w:r>
          </w:p>
        </w:tc>
        <w:tc>
          <w:tcPr>
            <w:tcW w:w="659" w:type="dxa"/>
            <w:vMerge w:val="restart"/>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0.61</w:t>
            </w:r>
          </w:p>
        </w:tc>
        <w:tc>
          <w:tcPr>
            <w:tcW w:w="1824" w:type="dxa"/>
            <w:vMerge w:val="restart"/>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严格执行相关政策，保障工资及时、足额发放或社保及时、足额缴纳，预算编制科学合理，减少结余资金。</w:t>
            </w:r>
          </w:p>
        </w:tc>
        <w:tc>
          <w:tcPr>
            <w:tcW w:w="54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产出指标</w:t>
            </w:r>
          </w:p>
        </w:tc>
        <w:tc>
          <w:tcPr>
            <w:tcW w:w="497"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数量指标</w:t>
            </w:r>
          </w:p>
        </w:tc>
        <w:tc>
          <w:tcPr>
            <w:tcW w:w="11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发放（缴纳）覆盖率</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4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100</w:t>
            </w:r>
          </w:p>
        </w:tc>
        <w:tc>
          <w:tcPr>
            <w:tcW w:w="28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318" w:type="dxa"/>
            <w:gridSpan w:val="3"/>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18"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575"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378"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659"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24"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54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产出指标</w:t>
            </w:r>
          </w:p>
        </w:tc>
        <w:tc>
          <w:tcPr>
            <w:tcW w:w="497"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质量指标</w:t>
            </w:r>
          </w:p>
        </w:tc>
        <w:tc>
          <w:tcPr>
            <w:tcW w:w="11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标准执行率</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4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100</w:t>
            </w:r>
          </w:p>
        </w:tc>
        <w:tc>
          <w:tcPr>
            <w:tcW w:w="28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318" w:type="dxa"/>
            <w:gridSpan w:val="3"/>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18"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575"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378"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659"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24"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54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产出指标</w:t>
            </w:r>
          </w:p>
        </w:tc>
        <w:tc>
          <w:tcPr>
            <w:tcW w:w="497"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质量指标</w:t>
            </w:r>
          </w:p>
        </w:tc>
        <w:tc>
          <w:tcPr>
            <w:tcW w:w="11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科目调整次数</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4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5</w:t>
            </w:r>
          </w:p>
        </w:tc>
        <w:tc>
          <w:tcPr>
            <w:tcW w:w="28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次</w:t>
            </w:r>
          </w:p>
        </w:tc>
        <w:tc>
          <w:tcPr>
            <w:tcW w:w="318" w:type="dxa"/>
            <w:gridSpan w:val="3"/>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18"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575"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378"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659"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24"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54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效益指标</w:t>
            </w:r>
          </w:p>
        </w:tc>
        <w:tc>
          <w:tcPr>
            <w:tcW w:w="497"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社会效益指标</w:t>
            </w:r>
          </w:p>
        </w:tc>
        <w:tc>
          <w:tcPr>
            <w:tcW w:w="11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足额保障率（参保率）</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4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100</w:t>
            </w:r>
          </w:p>
        </w:tc>
        <w:tc>
          <w:tcPr>
            <w:tcW w:w="28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318" w:type="dxa"/>
            <w:gridSpan w:val="3"/>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18"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575" w:type="dxa"/>
            <w:vMerge w:val="restart"/>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46000021R000000006647-工伤保险</w:t>
            </w:r>
          </w:p>
        </w:tc>
        <w:tc>
          <w:tcPr>
            <w:tcW w:w="378" w:type="dxa"/>
            <w:vMerge w:val="restart"/>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10.00</w:t>
            </w:r>
          </w:p>
        </w:tc>
        <w:tc>
          <w:tcPr>
            <w:tcW w:w="659" w:type="dxa"/>
            <w:vMerge w:val="restart"/>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1.10</w:t>
            </w:r>
          </w:p>
        </w:tc>
        <w:tc>
          <w:tcPr>
            <w:tcW w:w="1824" w:type="dxa"/>
            <w:vMerge w:val="restart"/>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严格执行相关政策，保障工资及时、足额发放或社保及时、足额缴纳，预算编制科学合理，减少结余资金。</w:t>
            </w:r>
          </w:p>
        </w:tc>
        <w:tc>
          <w:tcPr>
            <w:tcW w:w="54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产出指标</w:t>
            </w:r>
          </w:p>
        </w:tc>
        <w:tc>
          <w:tcPr>
            <w:tcW w:w="497"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数量指标</w:t>
            </w:r>
          </w:p>
        </w:tc>
        <w:tc>
          <w:tcPr>
            <w:tcW w:w="11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发放（缴纳）覆盖率</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4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100</w:t>
            </w:r>
          </w:p>
        </w:tc>
        <w:tc>
          <w:tcPr>
            <w:tcW w:w="28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318" w:type="dxa"/>
            <w:gridSpan w:val="3"/>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18"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575"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378"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659"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24"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54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产出指标</w:t>
            </w:r>
          </w:p>
        </w:tc>
        <w:tc>
          <w:tcPr>
            <w:tcW w:w="497"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质量指标</w:t>
            </w:r>
          </w:p>
        </w:tc>
        <w:tc>
          <w:tcPr>
            <w:tcW w:w="11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标准执行率</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4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100</w:t>
            </w:r>
          </w:p>
        </w:tc>
        <w:tc>
          <w:tcPr>
            <w:tcW w:w="28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318" w:type="dxa"/>
            <w:gridSpan w:val="3"/>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18"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575"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378"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659"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24"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54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产出指标</w:t>
            </w:r>
          </w:p>
        </w:tc>
        <w:tc>
          <w:tcPr>
            <w:tcW w:w="497"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质量指标</w:t>
            </w:r>
          </w:p>
        </w:tc>
        <w:tc>
          <w:tcPr>
            <w:tcW w:w="11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科目调整次数</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4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5</w:t>
            </w:r>
          </w:p>
        </w:tc>
        <w:tc>
          <w:tcPr>
            <w:tcW w:w="28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次</w:t>
            </w:r>
          </w:p>
        </w:tc>
        <w:tc>
          <w:tcPr>
            <w:tcW w:w="318" w:type="dxa"/>
            <w:gridSpan w:val="3"/>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18"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575"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378"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659"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24"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54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效益指标</w:t>
            </w:r>
          </w:p>
        </w:tc>
        <w:tc>
          <w:tcPr>
            <w:tcW w:w="497"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社会效益指标</w:t>
            </w:r>
          </w:p>
        </w:tc>
        <w:tc>
          <w:tcPr>
            <w:tcW w:w="11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足额保障率（参保率）</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4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100</w:t>
            </w:r>
          </w:p>
        </w:tc>
        <w:tc>
          <w:tcPr>
            <w:tcW w:w="28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318" w:type="dxa"/>
            <w:gridSpan w:val="3"/>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18"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575" w:type="dxa"/>
            <w:vMerge w:val="restart"/>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46000021R000000006655-住房补贴</w:t>
            </w:r>
          </w:p>
        </w:tc>
        <w:tc>
          <w:tcPr>
            <w:tcW w:w="378" w:type="dxa"/>
            <w:vMerge w:val="restart"/>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10.00</w:t>
            </w:r>
          </w:p>
        </w:tc>
        <w:tc>
          <w:tcPr>
            <w:tcW w:w="659" w:type="dxa"/>
            <w:vMerge w:val="restart"/>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0.17</w:t>
            </w:r>
          </w:p>
        </w:tc>
        <w:tc>
          <w:tcPr>
            <w:tcW w:w="1824" w:type="dxa"/>
            <w:vMerge w:val="restart"/>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严格执行相关政策，保障工资及时、足额发放或社保及时、足额缴纳，预算编制科学合理，减少结余资金。</w:t>
            </w:r>
          </w:p>
        </w:tc>
        <w:tc>
          <w:tcPr>
            <w:tcW w:w="54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产出指标</w:t>
            </w:r>
          </w:p>
        </w:tc>
        <w:tc>
          <w:tcPr>
            <w:tcW w:w="497"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数量指标</w:t>
            </w:r>
          </w:p>
        </w:tc>
        <w:tc>
          <w:tcPr>
            <w:tcW w:w="11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发放（缴纳）覆盖率</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4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100</w:t>
            </w:r>
          </w:p>
        </w:tc>
        <w:tc>
          <w:tcPr>
            <w:tcW w:w="28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318" w:type="dxa"/>
            <w:gridSpan w:val="3"/>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18"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575"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378"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659"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24"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54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产出指标</w:t>
            </w:r>
          </w:p>
        </w:tc>
        <w:tc>
          <w:tcPr>
            <w:tcW w:w="497"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质量指标</w:t>
            </w:r>
          </w:p>
        </w:tc>
        <w:tc>
          <w:tcPr>
            <w:tcW w:w="11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标准执行率</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4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100</w:t>
            </w:r>
          </w:p>
        </w:tc>
        <w:tc>
          <w:tcPr>
            <w:tcW w:w="28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318" w:type="dxa"/>
            <w:gridSpan w:val="3"/>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18"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575"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378"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659"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24"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54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产出指标</w:t>
            </w:r>
          </w:p>
        </w:tc>
        <w:tc>
          <w:tcPr>
            <w:tcW w:w="497"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质量指标</w:t>
            </w:r>
          </w:p>
        </w:tc>
        <w:tc>
          <w:tcPr>
            <w:tcW w:w="11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科目调整次数</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4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5</w:t>
            </w:r>
          </w:p>
        </w:tc>
        <w:tc>
          <w:tcPr>
            <w:tcW w:w="28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次</w:t>
            </w:r>
          </w:p>
        </w:tc>
        <w:tc>
          <w:tcPr>
            <w:tcW w:w="318" w:type="dxa"/>
            <w:gridSpan w:val="3"/>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18"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575"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378"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659"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24"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54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效益指标</w:t>
            </w:r>
          </w:p>
        </w:tc>
        <w:tc>
          <w:tcPr>
            <w:tcW w:w="497"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社会效益指标</w:t>
            </w:r>
          </w:p>
        </w:tc>
        <w:tc>
          <w:tcPr>
            <w:tcW w:w="11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足额保障率（参保率）</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4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100</w:t>
            </w:r>
          </w:p>
        </w:tc>
        <w:tc>
          <w:tcPr>
            <w:tcW w:w="28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318" w:type="dxa"/>
            <w:gridSpan w:val="3"/>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18"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575" w:type="dxa"/>
            <w:vMerge w:val="restart"/>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46000021R000000006656-其他工资福利支出</w:t>
            </w:r>
          </w:p>
        </w:tc>
        <w:tc>
          <w:tcPr>
            <w:tcW w:w="378" w:type="dxa"/>
            <w:vMerge w:val="restart"/>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10.00</w:t>
            </w:r>
          </w:p>
        </w:tc>
        <w:tc>
          <w:tcPr>
            <w:tcW w:w="659" w:type="dxa"/>
            <w:vMerge w:val="restart"/>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0.96</w:t>
            </w:r>
          </w:p>
        </w:tc>
        <w:tc>
          <w:tcPr>
            <w:tcW w:w="1824" w:type="dxa"/>
            <w:vMerge w:val="restart"/>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严格执行相关政策，保障工资及时、足额发放或社保及时、足额缴纳，预算编制科学合理，减少结余资金。</w:t>
            </w:r>
          </w:p>
        </w:tc>
        <w:tc>
          <w:tcPr>
            <w:tcW w:w="54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产出指标</w:t>
            </w:r>
          </w:p>
        </w:tc>
        <w:tc>
          <w:tcPr>
            <w:tcW w:w="497"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数量指标</w:t>
            </w:r>
          </w:p>
        </w:tc>
        <w:tc>
          <w:tcPr>
            <w:tcW w:w="11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发放（缴纳）覆盖率</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4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100</w:t>
            </w:r>
          </w:p>
        </w:tc>
        <w:tc>
          <w:tcPr>
            <w:tcW w:w="28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318" w:type="dxa"/>
            <w:gridSpan w:val="3"/>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18"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575"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378"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659"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24"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54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产出指标</w:t>
            </w:r>
          </w:p>
        </w:tc>
        <w:tc>
          <w:tcPr>
            <w:tcW w:w="497"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质量指标</w:t>
            </w:r>
          </w:p>
        </w:tc>
        <w:tc>
          <w:tcPr>
            <w:tcW w:w="11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标准执行率</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4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100</w:t>
            </w:r>
          </w:p>
        </w:tc>
        <w:tc>
          <w:tcPr>
            <w:tcW w:w="28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318" w:type="dxa"/>
            <w:gridSpan w:val="3"/>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18"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575"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378"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659"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24"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54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产出指标</w:t>
            </w:r>
          </w:p>
        </w:tc>
        <w:tc>
          <w:tcPr>
            <w:tcW w:w="497"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质量指标</w:t>
            </w:r>
          </w:p>
        </w:tc>
        <w:tc>
          <w:tcPr>
            <w:tcW w:w="11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科目调整次数</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4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5</w:t>
            </w:r>
          </w:p>
        </w:tc>
        <w:tc>
          <w:tcPr>
            <w:tcW w:w="28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次</w:t>
            </w:r>
          </w:p>
        </w:tc>
        <w:tc>
          <w:tcPr>
            <w:tcW w:w="318" w:type="dxa"/>
            <w:gridSpan w:val="3"/>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18"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575"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378"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659"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24"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54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效益指标</w:t>
            </w:r>
          </w:p>
        </w:tc>
        <w:tc>
          <w:tcPr>
            <w:tcW w:w="497"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社会效益指标</w:t>
            </w:r>
          </w:p>
        </w:tc>
        <w:tc>
          <w:tcPr>
            <w:tcW w:w="11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足额保障率（参保率）</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4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100</w:t>
            </w:r>
          </w:p>
        </w:tc>
        <w:tc>
          <w:tcPr>
            <w:tcW w:w="28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318" w:type="dxa"/>
            <w:gridSpan w:val="3"/>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18"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575" w:type="dxa"/>
            <w:vMerge w:val="restart"/>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46000021R000000006663-住房公积金</w:t>
            </w:r>
          </w:p>
        </w:tc>
        <w:tc>
          <w:tcPr>
            <w:tcW w:w="378" w:type="dxa"/>
            <w:vMerge w:val="restart"/>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10.00</w:t>
            </w:r>
          </w:p>
        </w:tc>
        <w:tc>
          <w:tcPr>
            <w:tcW w:w="659" w:type="dxa"/>
            <w:vMerge w:val="restart"/>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16.98</w:t>
            </w:r>
          </w:p>
        </w:tc>
        <w:tc>
          <w:tcPr>
            <w:tcW w:w="1824" w:type="dxa"/>
            <w:vMerge w:val="restart"/>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严格执行相关政策，保障工资及时、足额发放或社保及时、足额缴纳，预算编制科学合理，减少结余资金。</w:t>
            </w:r>
          </w:p>
        </w:tc>
        <w:tc>
          <w:tcPr>
            <w:tcW w:w="54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产出指标</w:t>
            </w:r>
          </w:p>
        </w:tc>
        <w:tc>
          <w:tcPr>
            <w:tcW w:w="497"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数量指标</w:t>
            </w:r>
          </w:p>
        </w:tc>
        <w:tc>
          <w:tcPr>
            <w:tcW w:w="11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发放（缴纳）覆盖率</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4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100</w:t>
            </w:r>
          </w:p>
        </w:tc>
        <w:tc>
          <w:tcPr>
            <w:tcW w:w="28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318" w:type="dxa"/>
            <w:gridSpan w:val="3"/>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18"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575"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378"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659"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24"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54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产出指标</w:t>
            </w:r>
          </w:p>
        </w:tc>
        <w:tc>
          <w:tcPr>
            <w:tcW w:w="497"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质量指标</w:t>
            </w:r>
          </w:p>
        </w:tc>
        <w:tc>
          <w:tcPr>
            <w:tcW w:w="11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标准执行率</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4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100</w:t>
            </w:r>
          </w:p>
        </w:tc>
        <w:tc>
          <w:tcPr>
            <w:tcW w:w="28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318" w:type="dxa"/>
            <w:gridSpan w:val="3"/>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18"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575"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378"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659"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24"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54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产出指标</w:t>
            </w:r>
          </w:p>
        </w:tc>
        <w:tc>
          <w:tcPr>
            <w:tcW w:w="497"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质量指标</w:t>
            </w:r>
          </w:p>
        </w:tc>
        <w:tc>
          <w:tcPr>
            <w:tcW w:w="11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科目调整次数</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4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5</w:t>
            </w:r>
          </w:p>
        </w:tc>
        <w:tc>
          <w:tcPr>
            <w:tcW w:w="28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次</w:t>
            </w:r>
          </w:p>
        </w:tc>
        <w:tc>
          <w:tcPr>
            <w:tcW w:w="318" w:type="dxa"/>
            <w:gridSpan w:val="3"/>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18"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575"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378"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659"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24"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54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效益指标</w:t>
            </w:r>
          </w:p>
        </w:tc>
        <w:tc>
          <w:tcPr>
            <w:tcW w:w="497"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社会效益指标</w:t>
            </w:r>
          </w:p>
        </w:tc>
        <w:tc>
          <w:tcPr>
            <w:tcW w:w="11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足额保障率（参保率）</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4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100</w:t>
            </w:r>
          </w:p>
        </w:tc>
        <w:tc>
          <w:tcPr>
            <w:tcW w:w="28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318" w:type="dxa"/>
            <w:gridSpan w:val="3"/>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18"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575" w:type="dxa"/>
            <w:vMerge w:val="restart"/>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46000021Y000000006662-公用支出</w:t>
            </w:r>
          </w:p>
        </w:tc>
        <w:tc>
          <w:tcPr>
            <w:tcW w:w="378" w:type="dxa"/>
            <w:vMerge w:val="restart"/>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10.00</w:t>
            </w:r>
          </w:p>
        </w:tc>
        <w:tc>
          <w:tcPr>
            <w:tcW w:w="659" w:type="dxa"/>
            <w:vMerge w:val="restart"/>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23.25</w:t>
            </w:r>
          </w:p>
        </w:tc>
        <w:tc>
          <w:tcPr>
            <w:tcW w:w="1824" w:type="dxa"/>
            <w:vMerge w:val="restart"/>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提高预算编制质量，严格执行预算，保障单位日常运转。</w:t>
            </w:r>
          </w:p>
        </w:tc>
        <w:tc>
          <w:tcPr>
            <w:tcW w:w="54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产出指标</w:t>
            </w:r>
          </w:p>
        </w:tc>
        <w:tc>
          <w:tcPr>
            <w:tcW w:w="497"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数量指标</w:t>
            </w:r>
          </w:p>
        </w:tc>
        <w:tc>
          <w:tcPr>
            <w:tcW w:w="11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科目调整次数</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4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5</w:t>
            </w:r>
          </w:p>
        </w:tc>
        <w:tc>
          <w:tcPr>
            <w:tcW w:w="28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次</w:t>
            </w:r>
          </w:p>
        </w:tc>
        <w:tc>
          <w:tcPr>
            <w:tcW w:w="318" w:type="dxa"/>
            <w:gridSpan w:val="3"/>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18"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575"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378"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659"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24"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54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产出指标</w:t>
            </w:r>
          </w:p>
        </w:tc>
        <w:tc>
          <w:tcPr>
            <w:tcW w:w="497"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质量指标</w:t>
            </w:r>
          </w:p>
        </w:tc>
        <w:tc>
          <w:tcPr>
            <w:tcW w:w="11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预算编制质量（∣（执行数-预算数）/预算数∣）</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4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5</w:t>
            </w:r>
          </w:p>
        </w:tc>
        <w:tc>
          <w:tcPr>
            <w:tcW w:w="28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318" w:type="dxa"/>
            <w:gridSpan w:val="3"/>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18"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575"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378"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659"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24"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54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效益指标</w:t>
            </w:r>
          </w:p>
        </w:tc>
        <w:tc>
          <w:tcPr>
            <w:tcW w:w="497"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经济效益指标</w:t>
            </w:r>
          </w:p>
        </w:tc>
        <w:tc>
          <w:tcPr>
            <w:tcW w:w="11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三公经费控制率（执行数/预算数）</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4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100</w:t>
            </w:r>
          </w:p>
        </w:tc>
        <w:tc>
          <w:tcPr>
            <w:tcW w:w="28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318" w:type="dxa"/>
            <w:gridSpan w:val="3"/>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18"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575"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378"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659"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24"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54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效益指标</w:t>
            </w:r>
          </w:p>
        </w:tc>
        <w:tc>
          <w:tcPr>
            <w:tcW w:w="497"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社会效益指标</w:t>
            </w:r>
          </w:p>
        </w:tc>
        <w:tc>
          <w:tcPr>
            <w:tcW w:w="11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运转保障率</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4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100</w:t>
            </w:r>
          </w:p>
        </w:tc>
        <w:tc>
          <w:tcPr>
            <w:tcW w:w="28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318" w:type="dxa"/>
            <w:gridSpan w:val="3"/>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18"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575" w:type="dxa"/>
            <w:vMerge w:val="restart"/>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46010021Y000000011239-综合事务</w:t>
            </w:r>
          </w:p>
        </w:tc>
        <w:tc>
          <w:tcPr>
            <w:tcW w:w="378" w:type="dxa"/>
            <w:vMerge w:val="restart"/>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10.00</w:t>
            </w:r>
          </w:p>
        </w:tc>
        <w:tc>
          <w:tcPr>
            <w:tcW w:w="659" w:type="dxa"/>
            <w:vMerge w:val="restart"/>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150.00</w:t>
            </w:r>
          </w:p>
        </w:tc>
        <w:tc>
          <w:tcPr>
            <w:tcW w:w="1824" w:type="dxa"/>
            <w:vMerge w:val="restart"/>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14名劳务派遣人员工资正常发放，绩效考核达标，保障单位工作正常开展；完成我市、区、乡镇90人/次经办人员的基金、经办、政策等业务培训，提高参训人员满意度及业务水平；确保法律顾问法律咨询解答及时，单位法律遵从度提高；通过横幅、宣传页、报纸等各项宣传活动，使城乡养老保险各项工作得到广泛宣传，使省政府下达的海口市全民参保扩面任务100%完成。</w:t>
            </w:r>
          </w:p>
        </w:tc>
        <w:tc>
          <w:tcPr>
            <w:tcW w:w="54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产出指标</w:t>
            </w:r>
          </w:p>
        </w:tc>
        <w:tc>
          <w:tcPr>
            <w:tcW w:w="497"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数量指标</w:t>
            </w:r>
          </w:p>
        </w:tc>
        <w:tc>
          <w:tcPr>
            <w:tcW w:w="11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法律咨询服务</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4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w:t>
            </w:r>
          </w:p>
        </w:tc>
        <w:tc>
          <w:tcPr>
            <w:tcW w:w="28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年</w:t>
            </w:r>
          </w:p>
        </w:tc>
        <w:tc>
          <w:tcPr>
            <w:tcW w:w="318" w:type="dxa"/>
            <w:gridSpan w:val="3"/>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18"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575"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378"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659"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24"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54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产出指标</w:t>
            </w:r>
          </w:p>
        </w:tc>
        <w:tc>
          <w:tcPr>
            <w:tcW w:w="497"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数量指标</w:t>
            </w:r>
          </w:p>
        </w:tc>
        <w:tc>
          <w:tcPr>
            <w:tcW w:w="11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劳务派遣人员数量</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4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14</w:t>
            </w:r>
          </w:p>
        </w:tc>
        <w:tc>
          <w:tcPr>
            <w:tcW w:w="28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人</w:t>
            </w:r>
          </w:p>
        </w:tc>
        <w:tc>
          <w:tcPr>
            <w:tcW w:w="318" w:type="dxa"/>
            <w:gridSpan w:val="3"/>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18"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575"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378"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659"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24"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54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产出指标</w:t>
            </w:r>
          </w:p>
        </w:tc>
        <w:tc>
          <w:tcPr>
            <w:tcW w:w="497"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数量指标</w:t>
            </w:r>
          </w:p>
        </w:tc>
        <w:tc>
          <w:tcPr>
            <w:tcW w:w="11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农保业务培训人数</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4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90</w:t>
            </w:r>
          </w:p>
        </w:tc>
        <w:tc>
          <w:tcPr>
            <w:tcW w:w="28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人/次</w:t>
            </w:r>
          </w:p>
        </w:tc>
        <w:tc>
          <w:tcPr>
            <w:tcW w:w="318" w:type="dxa"/>
            <w:gridSpan w:val="3"/>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18"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575"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378"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659"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24"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54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产出指标</w:t>
            </w:r>
          </w:p>
        </w:tc>
        <w:tc>
          <w:tcPr>
            <w:tcW w:w="497"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数量指标</w:t>
            </w:r>
          </w:p>
        </w:tc>
        <w:tc>
          <w:tcPr>
            <w:tcW w:w="11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城乡养老保险报刊宣传次数</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4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w:t>
            </w:r>
          </w:p>
        </w:tc>
        <w:tc>
          <w:tcPr>
            <w:tcW w:w="28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次</w:t>
            </w:r>
          </w:p>
        </w:tc>
        <w:tc>
          <w:tcPr>
            <w:tcW w:w="318" w:type="dxa"/>
            <w:gridSpan w:val="3"/>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18"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575"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378"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659"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24"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54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产出指标</w:t>
            </w:r>
          </w:p>
        </w:tc>
        <w:tc>
          <w:tcPr>
            <w:tcW w:w="497"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质量指标</w:t>
            </w:r>
          </w:p>
        </w:tc>
        <w:tc>
          <w:tcPr>
            <w:tcW w:w="11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劳务派遣人员考核达标率</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4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100</w:t>
            </w:r>
          </w:p>
        </w:tc>
        <w:tc>
          <w:tcPr>
            <w:tcW w:w="28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318" w:type="dxa"/>
            <w:gridSpan w:val="3"/>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18"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575"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378"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659"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24"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54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效益指标</w:t>
            </w:r>
          </w:p>
        </w:tc>
        <w:tc>
          <w:tcPr>
            <w:tcW w:w="497"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社会效益指标</w:t>
            </w:r>
          </w:p>
        </w:tc>
        <w:tc>
          <w:tcPr>
            <w:tcW w:w="11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保障单位正常运转天数</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4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365</w:t>
            </w:r>
          </w:p>
        </w:tc>
        <w:tc>
          <w:tcPr>
            <w:tcW w:w="28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天</w:t>
            </w:r>
          </w:p>
        </w:tc>
        <w:tc>
          <w:tcPr>
            <w:tcW w:w="318" w:type="dxa"/>
            <w:gridSpan w:val="3"/>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18"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575"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378"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659"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24"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54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效益指标</w:t>
            </w:r>
          </w:p>
        </w:tc>
        <w:tc>
          <w:tcPr>
            <w:tcW w:w="497"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社会效益指标</w:t>
            </w:r>
          </w:p>
        </w:tc>
        <w:tc>
          <w:tcPr>
            <w:tcW w:w="11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全民参保扩面任务完成率</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4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100</w:t>
            </w:r>
          </w:p>
        </w:tc>
        <w:tc>
          <w:tcPr>
            <w:tcW w:w="28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318" w:type="dxa"/>
            <w:gridSpan w:val="3"/>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18"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575"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378"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659"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24"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54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效益指标</w:t>
            </w:r>
          </w:p>
        </w:tc>
        <w:tc>
          <w:tcPr>
            <w:tcW w:w="497"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社会效益指标</w:t>
            </w:r>
          </w:p>
        </w:tc>
        <w:tc>
          <w:tcPr>
            <w:tcW w:w="11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农保业务参训人员业务水平</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定性</w:t>
            </w:r>
          </w:p>
        </w:tc>
        <w:tc>
          <w:tcPr>
            <w:tcW w:w="4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提高</w:t>
            </w:r>
          </w:p>
        </w:tc>
        <w:tc>
          <w:tcPr>
            <w:tcW w:w="28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318" w:type="dxa"/>
            <w:gridSpan w:val="3"/>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18"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575"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378"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659"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24"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54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满意度指标</w:t>
            </w:r>
          </w:p>
        </w:tc>
        <w:tc>
          <w:tcPr>
            <w:tcW w:w="497"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服务对象满意度</w:t>
            </w:r>
          </w:p>
        </w:tc>
        <w:tc>
          <w:tcPr>
            <w:tcW w:w="11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培训业务人员的满意度</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4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90</w:t>
            </w:r>
          </w:p>
        </w:tc>
        <w:tc>
          <w:tcPr>
            <w:tcW w:w="28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318" w:type="dxa"/>
            <w:gridSpan w:val="3"/>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18"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575" w:type="dxa"/>
            <w:vMerge w:val="restart"/>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46010023T000001043197-城乡居民基本养老保险补助经费</w:t>
            </w:r>
          </w:p>
        </w:tc>
        <w:tc>
          <w:tcPr>
            <w:tcW w:w="378" w:type="dxa"/>
            <w:vMerge w:val="restart"/>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10.00</w:t>
            </w:r>
          </w:p>
        </w:tc>
        <w:tc>
          <w:tcPr>
            <w:tcW w:w="659" w:type="dxa"/>
            <w:vMerge w:val="restart"/>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27,587.00</w:t>
            </w:r>
          </w:p>
        </w:tc>
        <w:tc>
          <w:tcPr>
            <w:tcW w:w="1824" w:type="dxa"/>
            <w:vMerge w:val="restart"/>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保障城乡居民基本养老保险待遇及时足额发放。</w:t>
            </w:r>
          </w:p>
        </w:tc>
        <w:tc>
          <w:tcPr>
            <w:tcW w:w="54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产出指标</w:t>
            </w:r>
          </w:p>
        </w:tc>
        <w:tc>
          <w:tcPr>
            <w:tcW w:w="497"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数量指标</w:t>
            </w:r>
          </w:p>
        </w:tc>
        <w:tc>
          <w:tcPr>
            <w:tcW w:w="11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发放符合条件领取城乡居民养老金人数</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4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1380000</w:t>
            </w:r>
          </w:p>
        </w:tc>
        <w:tc>
          <w:tcPr>
            <w:tcW w:w="28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人次</w:t>
            </w:r>
          </w:p>
        </w:tc>
        <w:tc>
          <w:tcPr>
            <w:tcW w:w="318" w:type="dxa"/>
            <w:gridSpan w:val="3"/>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18"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575"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378"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659"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24"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54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效益指标</w:t>
            </w:r>
          </w:p>
        </w:tc>
        <w:tc>
          <w:tcPr>
            <w:tcW w:w="497"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社会效益指标</w:t>
            </w:r>
          </w:p>
        </w:tc>
        <w:tc>
          <w:tcPr>
            <w:tcW w:w="11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保障符合条件领取待遇人员按时足额发放养老金</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定性</w:t>
            </w:r>
          </w:p>
        </w:tc>
        <w:tc>
          <w:tcPr>
            <w:tcW w:w="4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保障</w:t>
            </w:r>
          </w:p>
        </w:tc>
        <w:tc>
          <w:tcPr>
            <w:tcW w:w="28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其他</w:t>
            </w:r>
          </w:p>
        </w:tc>
        <w:tc>
          <w:tcPr>
            <w:tcW w:w="318" w:type="dxa"/>
            <w:gridSpan w:val="3"/>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8" w:hRule="atLeast"/>
        </w:trPr>
        <w:tc>
          <w:tcPr>
            <w:tcW w:w="518"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1575"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378"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center"/>
              <w:rPr>
                <w:rFonts w:hint="eastAsia" w:ascii="宋体" w:hAnsi="宋体" w:eastAsia="宋体" w:cs="宋体"/>
                <w:i w:val="0"/>
                <w:color w:val="000000"/>
                <w:sz w:val="22"/>
                <w:szCs w:val="22"/>
                <w:highlight w:val="none"/>
                <w:u w:val="none"/>
              </w:rPr>
            </w:pPr>
          </w:p>
        </w:tc>
        <w:tc>
          <w:tcPr>
            <w:tcW w:w="659" w:type="dxa"/>
            <w:vMerge w:val="continue"/>
            <w:tcBorders>
              <w:top w:val="single" w:color="C0C0C0" w:sz="4" w:space="0"/>
              <w:left w:val="single" w:color="C0C0C0" w:sz="4" w:space="0"/>
              <w:bottom w:val="single" w:color="C0C0C0" w:sz="4" w:space="0"/>
              <w:right w:val="single" w:color="C0C0C0" w:sz="4" w:space="0"/>
            </w:tcBorders>
            <w:shd w:val="clear"/>
            <w:noWrap/>
            <w:tcMar>
              <w:top w:w="12" w:type="dxa"/>
              <w:left w:w="12" w:type="dxa"/>
              <w:right w:w="12" w:type="dxa"/>
            </w:tcMar>
            <w:vAlign w:val="center"/>
          </w:tcPr>
          <w:p>
            <w:pPr>
              <w:jc w:val="right"/>
              <w:rPr>
                <w:rFonts w:hint="eastAsia" w:ascii="宋体" w:hAnsi="宋体" w:eastAsia="宋体" w:cs="宋体"/>
                <w:i w:val="0"/>
                <w:color w:val="000000"/>
                <w:sz w:val="22"/>
                <w:szCs w:val="22"/>
                <w:highlight w:val="none"/>
                <w:u w:val="none"/>
              </w:rPr>
            </w:pPr>
          </w:p>
        </w:tc>
        <w:tc>
          <w:tcPr>
            <w:tcW w:w="1824" w:type="dxa"/>
            <w:vMerge w:val="continue"/>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jc w:val="left"/>
              <w:rPr>
                <w:rFonts w:hint="eastAsia" w:ascii="宋体" w:hAnsi="宋体" w:eastAsia="宋体" w:cs="宋体"/>
                <w:i w:val="0"/>
                <w:color w:val="000000"/>
                <w:sz w:val="22"/>
                <w:szCs w:val="22"/>
                <w:highlight w:val="none"/>
                <w:u w:val="none"/>
              </w:rPr>
            </w:pPr>
          </w:p>
        </w:tc>
        <w:tc>
          <w:tcPr>
            <w:tcW w:w="54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满意度指标</w:t>
            </w:r>
          </w:p>
        </w:tc>
        <w:tc>
          <w:tcPr>
            <w:tcW w:w="497"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服务对象满意度</w:t>
            </w:r>
          </w:p>
        </w:tc>
        <w:tc>
          <w:tcPr>
            <w:tcW w:w="1183"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城乡居民养老待遇领取人员满意度</w:t>
            </w:r>
          </w:p>
        </w:tc>
        <w:tc>
          <w:tcPr>
            <w:tcW w:w="240"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43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96</w:t>
            </w:r>
          </w:p>
        </w:tc>
        <w:tc>
          <w:tcPr>
            <w:tcW w:w="289" w:type="dxa"/>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w:t>
            </w:r>
          </w:p>
        </w:tc>
        <w:tc>
          <w:tcPr>
            <w:tcW w:w="318" w:type="dxa"/>
            <w:gridSpan w:val="3"/>
            <w:tcBorders>
              <w:top w:val="single" w:color="C2C3C4" w:sz="4" w:space="0"/>
              <w:left w:val="single" w:color="C2C3C4" w:sz="4" w:space="0"/>
              <w:bottom w:val="single" w:color="C2C3C4" w:sz="4" w:space="0"/>
              <w:right w:val="single" w:color="C2C3C4" w:sz="4" w:space="0"/>
            </w:tcBorders>
            <w:shd w:val="clear"/>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bdr w:val="none" w:color="auto" w:sz="0" w:space="0"/>
                <w:lang w:val="en-US" w:eastAsia="zh-CN" w:bidi="ar"/>
              </w:rPr>
              <w:t>10</w:t>
            </w:r>
          </w:p>
        </w:tc>
      </w:tr>
    </w:tbl>
    <w:p>
      <w:pPr>
        <w:jc w:val="left"/>
        <w:rPr>
          <w:rFonts w:hint="eastAsia" w:ascii="仿宋" w:hAnsi="仿宋" w:eastAsia="仿宋" w:cs="仿宋"/>
          <w:sz w:val="30"/>
          <w:szCs w:val="30"/>
          <w:highlight w:val="none"/>
        </w:rPr>
      </w:pPr>
    </w:p>
    <w:p>
      <w:pPr>
        <w:jc w:val="center"/>
        <w:rPr>
          <w:rFonts w:hint="eastAsia" w:ascii="黑体" w:hAnsi="黑体" w:eastAsia="黑体" w:cs="黑体"/>
          <w:sz w:val="30"/>
          <w:szCs w:val="30"/>
          <w:highlight w:val="none"/>
        </w:rPr>
      </w:pPr>
      <w:r>
        <w:rPr>
          <w:rFonts w:hint="eastAsia" w:ascii="黑体" w:hAnsi="黑体" w:eastAsia="黑体" w:cs="黑体"/>
          <w:sz w:val="30"/>
          <w:szCs w:val="30"/>
          <w:highlight w:val="none"/>
        </w:rPr>
        <w:t>第三部分</w:t>
      </w:r>
      <w:r>
        <w:rPr>
          <w:rFonts w:hint="eastAsia" w:ascii="黑体" w:hAnsi="黑体" w:eastAsia="黑体" w:cs="黑体"/>
          <w:sz w:val="30"/>
          <w:szCs w:val="30"/>
          <w:highlight w:val="none"/>
          <w:lang w:eastAsia="zh-CN"/>
        </w:rPr>
        <w:t>海口市农村社会养老保险局2024</w:t>
      </w:r>
      <w:r>
        <w:rPr>
          <w:rFonts w:hint="eastAsia" w:ascii="黑体" w:hAnsi="黑体" w:eastAsia="黑体" w:cs="黑体"/>
          <w:sz w:val="30"/>
          <w:szCs w:val="30"/>
          <w:highlight w:val="none"/>
        </w:rPr>
        <w:t>年部门</w:t>
      </w:r>
    </w:p>
    <w:p>
      <w:pPr>
        <w:jc w:val="center"/>
        <w:rPr>
          <w:rFonts w:hint="eastAsia" w:ascii="黑体" w:hAnsi="黑体" w:eastAsia="黑体" w:cs="黑体"/>
          <w:sz w:val="30"/>
          <w:szCs w:val="30"/>
          <w:highlight w:val="none"/>
        </w:rPr>
      </w:pPr>
      <w:r>
        <w:rPr>
          <w:rFonts w:hint="eastAsia" w:ascii="黑体" w:hAnsi="黑体" w:eastAsia="黑体" w:cs="黑体"/>
          <w:sz w:val="30"/>
          <w:szCs w:val="30"/>
          <w:highlight w:val="none"/>
        </w:rPr>
        <w:t>（单位）预算情况说明</w:t>
      </w:r>
    </w:p>
    <w:p>
      <w:pPr>
        <w:jc w:val="center"/>
        <w:rPr>
          <w:rFonts w:hint="eastAsia" w:ascii="仿宋" w:hAnsi="仿宋" w:eastAsia="仿宋" w:cs="仿宋"/>
          <w:sz w:val="30"/>
          <w:szCs w:val="30"/>
          <w:highlight w:val="none"/>
        </w:rPr>
      </w:pPr>
    </w:p>
    <w:p>
      <w:pPr>
        <w:ind w:firstLine="600" w:firstLineChars="200"/>
        <w:jc w:val="left"/>
        <w:rPr>
          <w:rFonts w:hint="eastAsia" w:ascii="仿宋" w:hAnsi="仿宋" w:eastAsia="仿宋" w:cs="仿宋"/>
          <w:sz w:val="30"/>
          <w:szCs w:val="30"/>
          <w:highlight w:val="none"/>
        </w:rPr>
      </w:pPr>
      <w:r>
        <w:rPr>
          <w:rFonts w:hint="eastAsia" w:ascii="黑体" w:hAnsi="黑体" w:eastAsia="黑体" w:cs="黑体"/>
          <w:sz w:val="30"/>
          <w:szCs w:val="30"/>
          <w:highlight w:val="none"/>
        </w:rPr>
        <w:t>一、关于</w:t>
      </w:r>
      <w:r>
        <w:rPr>
          <w:rFonts w:hint="eastAsia" w:ascii="黑体" w:hAnsi="黑体" w:eastAsia="黑体" w:cs="黑体"/>
          <w:sz w:val="30"/>
          <w:szCs w:val="30"/>
          <w:highlight w:val="none"/>
          <w:lang w:eastAsia="zh-CN"/>
        </w:rPr>
        <w:t>海口市农村社会养老保险局2024</w:t>
      </w:r>
      <w:r>
        <w:rPr>
          <w:rFonts w:hint="eastAsia" w:ascii="黑体" w:hAnsi="黑体" w:eastAsia="黑体" w:cs="黑体"/>
          <w:sz w:val="30"/>
          <w:szCs w:val="30"/>
          <w:highlight w:val="none"/>
        </w:rPr>
        <w:t>年财政拨款收支预算情况的总体说明</w:t>
      </w:r>
    </w:p>
    <w:p>
      <w:pPr>
        <w:spacing w:line="570" w:lineRule="exact"/>
        <w:ind w:firstLine="640" w:firstLineChars="200"/>
        <w:jc w:val="left"/>
        <w:rPr>
          <w:rFonts w:ascii="黑体" w:hAnsi="黑体" w:eastAsia="黑体"/>
          <w:sz w:val="32"/>
          <w:szCs w:val="32"/>
          <w:highlight w:val="none"/>
        </w:rPr>
      </w:pPr>
      <w:r>
        <w:rPr>
          <w:rFonts w:hint="eastAsia" w:ascii="仿宋_GB2312" w:hAnsi="黑体" w:eastAsia="仿宋_GB2312"/>
          <w:sz w:val="32"/>
          <w:szCs w:val="32"/>
          <w:highlight w:val="none"/>
        </w:rPr>
        <w:t>海口市农村社会养老保险局</w:t>
      </w: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年财政拨款收支总预算27987.59万元。其中，收入总计27987.59万元，包括一般公共预算本年收入27987.59万元、政府性基金预算本年收入</w:t>
      </w:r>
      <w:r>
        <w:rPr>
          <w:rFonts w:ascii="仿宋_GB2312" w:hAnsi="黑体" w:eastAsia="仿宋_GB2312" w:cs="仿宋_GB2312"/>
          <w:sz w:val="32"/>
          <w:szCs w:val="32"/>
          <w:highlight w:val="none"/>
        </w:rPr>
        <w:t>0.00</w:t>
      </w:r>
      <w:r>
        <w:rPr>
          <w:rFonts w:hint="eastAsia" w:ascii="仿宋_GB2312" w:hAnsi="黑体" w:eastAsia="仿宋_GB2312"/>
          <w:sz w:val="32"/>
          <w:szCs w:val="32"/>
          <w:highlight w:val="none"/>
        </w:rPr>
        <w:t>万元、上年结转</w:t>
      </w:r>
      <w:r>
        <w:rPr>
          <w:rFonts w:ascii="仿宋_GB2312" w:hAnsi="黑体" w:eastAsia="仿宋_GB2312" w:cs="仿宋_GB2312"/>
          <w:sz w:val="32"/>
          <w:szCs w:val="32"/>
          <w:highlight w:val="none"/>
        </w:rPr>
        <w:t>0.00</w:t>
      </w:r>
      <w:r>
        <w:rPr>
          <w:rFonts w:hint="eastAsia" w:ascii="仿宋_GB2312" w:hAnsi="黑体" w:eastAsia="仿宋_GB2312"/>
          <w:sz w:val="32"/>
          <w:szCs w:val="32"/>
          <w:highlight w:val="none"/>
        </w:rPr>
        <w:t>万元；支出总计27987.59万元，包括社会保障和就业支出</w:t>
      </w:r>
      <w:r>
        <w:rPr>
          <w:rFonts w:hint="eastAsia" w:ascii="仿宋_GB2312" w:hAnsi="黑体" w:eastAsia="仿宋_GB2312" w:cs="仿宋_GB2312"/>
          <w:sz w:val="32"/>
          <w:szCs w:val="32"/>
          <w:highlight w:val="none"/>
        </w:rPr>
        <w:t>27944.94</w:t>
      </w:r>
      <w:r>
        <w:rPr>
          <w:rFonts w:hint="eastAsia" w:ascii="仿宋_GB2312" w:hAnsi="黑体" w:eastAsia="仿宋_GB2312"/>
          <w:sz w:val="32"/>
          <w:szCs w:val="32"/>
          <w:highlight w:val="none"/>
        </w:rPr>
        <w:t>万元、卫生健康支出</w:t>
      </w:r>
      <w:r>
        <w:rPr>
          <w:rFonts w:hint="eastAsia" w:ascii="仿宋_GB2312" w:hAnsi="黑体" w:eastAsia="仿宋_GB2312" w:cs="仿宋_GB2312"/>
          <w:sz w:val="32"/>
          <w:szCs w:val="32"/>
          <w:highlight w:val="none"/>
        </w:rPr>
        <w:t>25.50</w:t>
      </w:r>
      <w:r>
        <w:rPr>
          <w:rFonts w:hint="eastAsia" w:ascii="仿宋_GB2312" w:hAnsi="黑体" w:eastAsia="仿宋_GB2312"/>
          <w:sz w:val="32"/>
          <w:szCs w:val="32"/>
          <w:highlight w:val="none"/>
        </w:rPr>
        <w:t>万元、住房保障支出17.15万元。</w:t>
      </w:r>
    </w:p>
    <w:p>
      <w:pPr>
        <w:ind w:firstLine="640"/>
        <w:jc w:val="left"/>
        <w:rPr>
          <w:rFonts w:hint="eastAsia" w:ascii="仿宋" w:hAnsi="仿宋" w:eastAsia="仿宋" w:cs="仿宋"/>
          <w:sz w:val="30"/>
          <w:szCs w:val="30"/>
          <w:highlight w:val="none"/>
        </w:rPr>
      </w:pPr>
      <w:r>
        <w:rPr>
          <w:rFonts w:hint="eastAsia" w:ascii="黑体" w:hAnsi="黑体" w:eastAsia="黑体" w:cs="黑体"/>
          <w:sz w:val="30"/>
          <w:szCs w:val="30"/>
          <w:highlight w:val="none"/>
        </w:rPr>
        <w:t>二、关于</w:t>
      </w:r>
      <w:r>
        <w:rPr>
          <w:rFonts w:hint="eastAsia" w:ascii="黑体" w:hAnsi="黑体" w:eastAsia="黑体" w:cs="黑体"/>
          <w:sz w:val="30"/>
          <w:szCs w:val="30"/>
          <w:highlight w:val="none"/>
          <w:lang w:eastAsia="zh-CN"/>
        </w:rPr>
        <w:t>海口市农村社会养老保险局2024</w:t>
      </w:r>
      <w:r>
        <w:rPr>
          <w:rFonts w:hint="eastAsia" w:ascii="黑体" w:hAnsi="黑体" w:eastAsia="黑体" w:cs="黑体"/>
          <w:sz w:val="30"/>
          <w:szCs w:val="30"/>
          <w:highlight w:val="none"/>
        </w:rPr>
        <w:t>年一般公共预算当年拨款情况说明</w:t>
      </w:r>
    </w:p>
    <w:p>
      <w:pPr>
        <w:ind w:firstLine="640"/>
        <w:jc w:val="left"/>
        <w:rPr>
          <w:rFonts w:hint="eastAsia" w:ascii="仿宋" w:hAnsi="仿宋" w:eastAsia="仿宋" w:cs="仿宋"/>
          <w:sz w:val="30"/>
          <w:szCs w:val="30"/>
          <w:highlight w:val="none"/>
        </w:rPr>
      </w:pPr>
      <w:r>
        <w:rPr>
          <w:rFonts w:hint="eastAsia" w:ascii="仿宋" w:hAnsi="仿宋" w:eastAsia="仿宋" w:cs="仿宋"/>
          <w:sz w:val="30"/>
          <w:szCs w:val="30"/>
          <w:highlight w:val="none"/>
        </w:rPr>
        <w:t>（一）一般公共预算当年规模变化情况</w:t>
      </w:r>
    </w:p>
    <w:p>
      <w:pPr>
        <w:ind w:firstLine="600" w:firstLineChars="200"/>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eastAsia="zh-CN"/>
        </w:rPr>
        <w:t>海口市农村社会养老保险局2024年一般公共预算当年拨款</w:t>
      </w:r>
      <w:r>
        <w:rPr>
          <w:rFonts w:hint="eastAsia" w:ascii="仿宋_GB2312" w:hAnsi="黑体" w:eastAsia="仿宋_GB2312"/>
          <w:sz w:val="32"/>
          <w:szCs w:val="32"/>
          <w:highlight w:val="none"/>
        </w:rPr>
        <w:t>27987.59</w:t>
      </w:r>
      <w:r>
        <w:rPr>
          <w:rFonts w:hint="eastAsia" w:ascii="仿宋" w:hAnsi="仿宋" w:eastAsia="仿宋" w:cs="仿宋"/>
          <w:sz w:val="30"/>
          <w:szCs w:val="30"/>
          <w:highlight w:val="none"/>
          <w:lang w:eastAsia="zh-CN"/>
        </w:rPr>
        <w:t>万元，相比上年26128.46万元预算数增加1859.13万元，主要原因是项目支出（类）财政对基本养老保险基金的补助（款）财政对城乡居民基本养老保险基金的补助（项）27189.00</w:t>
      </w:r>
      <w:r>
        <w:rPr>
          <w:rFonts w:hint="eastAsia" w:ascii="仿宋" w:hAnsi="仿宋" w:eastAsia="仿宋" w:cs="仿宋"/>
          <w:sz w:val="30"/>
          <w:szCs w:val="30"/>
          <w:highlight w:val="none"/>
          <w:lang w:val="en-US" w:eastAsia="zh-CN"/>
        </w:rPr>
        <w:t>万元,</w:t>
      </w:r>
      <w:r>
        <w:rPr>
          <w:rFonts w:hint="eastAsia" w:ascii="仿宋" w:hAnsi="仿宋" w:eastAsia="仿宋" w:cs="仿宋"/>
          <w:sz w:val="30"/>
          <w:szCs w:val="30"/>
          <w:highlight w:val="none"/>
          <w:lang w:eastAsia="zh-CN"/>
        </w:rPr>
        <w:t>比上年预算数增加1426</w:t>
      </w:r>
      <w:r>
        <w:rPr>
          <w:rFonts w:hint="eastAsia" w:ascii="仿宋" w:hAnsi="仿宋" w:eastAsia="仿宋" w:cs="仿宋"/>
          <w:sz w:val="30"/>
          <w:szCs w:val="30"/>
          <w:highlight w:val="none"/>
          <w:lang w:val="en-US" w:eastAsia="zh-CN"/>
        </w:rPr>
        <w:t>万元;社会保障和就业支出（类）财政代缴社会保险费支出（款）财政代缴城乡居民基本养老保险费支出（项）2024年预算数为398.00万元,为今年新增项目支出</w:t>
      </w:r>
      <w:r>
        <w:rPr>
          <w:rFonts w:hint="eastAsia" w:ascii="仿宋" w:hAnsi="仿宋" w:eastAsia="仿宋" w:cs="仿宋"/>
          <w:sz w:val="30"/>
          <w:szCs w:val="30"/>
          <w:highlight w:val="none"/>
          <w:lang w:eastAsia="zh-CN"/>
        </w:rPr>
        <w:t>。</w:t>
      </w:r>
    </w:p>
    <w:p>
      <w:pPr>
        <w:ind w:firstLine="640"/>
        <w:jc w:val="left"/>
        <w:rPr>
          <w:rFonts w:hint="eastAsia" w:ascii="仿宋" w:hAnsi="仿宋" w:eastAsia="仿宋" w:cs="仿宋"/>
          <w:sz w:val="30"/>
          <w:szCs w:val="30"/>
          <w:highlight w:val="none"/>
        </w:rPr>
      </w:pPr>
      <w:r>
        <w:rPr>
          <w:rFonts w:hint="eastAsia" w:ascii="仿宋" w:hAnsi="仿宋" w:eastAsia="仿宋" w:cs="仿宋"/>
          <w:sz w:val="30"/>
          <w:szCs w:val="30"/>
          <w:highlight w:val="none"/>
        </w:rPr>
        <w:t>（二）一般公共预算当年拨款结构情况</w:t>
      </w:r>
    </w:p>
    <w:p>
      <w:pPr>
        <w:ind w:firstLine="600" w:firstLineChars="200"/>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eastAsia="zh-CN"/>
        </w:rPr>
        <w:t>社会保障和就业支出27944.94万元，占全年支出9</w:t>
      </w:r>
      <w:r>
        <w:rPr>
          <w:rFonts w:hint="eastAsia" w:ascii="仿宋" w:hAnsi="仿宋" w:eastAsia="仿宋" w:cs="仿宋"/>
          <w:sz w:val="30"/>
          <w:szCs w:val="30"/>
          <w:highlight w:val="none"/>
          <w:lang w:val="en-US" w:eastAsia="zh-CN"/>
        </w:rPr>
        <w:t>9.85</w:t>
      </w:r>
      <w:r>
        <w:rPr>
          <w:rFonts w:hint="eastAsia" w:ascii="仿宋" w:hAnsi="仿宋" w:eastAsia="仿宋" w:cs="仿宋"/>
          <w:sz w:val="30"/>
          <w:szCs w:val="30"/>
          <w:highlight w:val="none"/>
          <w:lang w:eastAsia="zh-CN"/>
        </w:rPr>
        <w:t>%，卫生健康支出25.5万元，占全年支出0</w:t>
      </w:r>
      <w:r>
        <w:rPr>
          <w:rFonts w:hint="eastAsia" w:ascii="仿宋" w:hAnsi="仿宋" w:eastAsia="仿宋" w:cs="仿宋"/>
          <w:sz w:val="30"/>
          <w:szCs w:val="30"/>
          <w:highlight w:val="none"/>
          <w:lang w:val="en-US" w:eastAsia="zh-CN"/>
        </w:rPr>
        <w:t>.09</w:t>
      </w:r>
      <w:r>
        <w:rPr>
          <w:rFonts w:hint="eastAsia" w:ascii="仿宋" w:hAnsi="仿宋" w:eastAsia="仿宋" w:cs="仿宋"/>
          <w:sz w:val="30"/>
          <w:szCs w:val="30"/>
          <w:highlight w:val="none"/>
          <w:lang w:eastAsia="zh-CN"/>
        </w:rPr>
        <w:t>%，住房保障支出17.15万元，占全年支出0</w:t>
      </w:r>
      <w:r>
        <w:rPr>
          <w:rFonts w:hint="eastAsia" w:ascii="仿宋" w:hAnsi="仿宋" w:eastAsia="仿宋" w:cs="仿宋"/>
          <w:sz w:val="30"/>
          <w:szCs w:val="30"/>
          <w:highlight w:val="none"/>
          <w:lang w:val="en-US" w:eastAsia="zh-CN"/>
        </w:rPr>
        <w:t>.06</w:t>
      </w:r>
      <w:r>
        <w:rPr>
          <w:rFonts w:hint="eastAsia" w:ascii="仿宋" w:hAnsi="仿宋" w:eastAsia="仿宋" w:cs="仿宋"/>
          <w:sz w:val="30"/>
          <w:szCs w:val="30"/>
          <w:highlight w:val="none"/>
          <w:lang w:eastAsia="zh-CN"/>
        </w:rPr>
        <w:t>%。</w:t>
      </w:r>
    </w:p>
    <w:p>
      <w:pPr>
        <w:ind w:firstLine="640"/>
        <w:jc w:val="left"/>
        <w:rPr>
          <w:rFonts w:hint="default" w:ascii="仿宋_GB2312" w:hAnsi="黑体" w:eastAsia="仿宋_GB2312"/>
          <w:sz w:val="32"/>
          <w:szCs w:val="32"/>
          <w:highlight w:val="none"/>
          <w:lang w:val="en-US" w:eastAsia="zh-CN"/>
        </w:rPr>
      </w:pPr>
      <w:r>
        <w:rPr>
          <w:rFonts w:hint="eastAsia" w:ascii="仿宋" w:hAnsi="仿宋" w:eastAsia="仿宋" w:cs="仿宋"/>
          <w:sz w:val="30"/>
          <w:szCs w:val="30"/>
          <w:highlight w:val="none"/>
        </w:rPr>
        <w:t>（三）一般公共预算当年拨款具体使用情况</w:t>
      </w:r>
    </w:p>
    <w:p>
      <w:pPr>
        <w:ind w:firstLine="600" w:firstLineChars="200"/>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eastAsia="zh-CN"/>
        </w:rPr>
        <w:t xml:space="preserve">1.社会保障和就业支出（类）人力资源和社会保障管理事务（款）行政运行（项）2024年预算数为172.21万元，比上年预算数增加13.33万元，主要原因是基本人员经费增加。 </w:t>
      </w:r>
    </w:p>
    <w:p>
      <w:pPr>
        <w:ind w:firstLine="600" w:firstLineChars="200"/>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eastAsia="zh-CN"/>
        </w:rPr>
        <w:t>2.社会保障和就业支出（类）人力资源和社会保障管理事务（款）社会保险经办机构（项）2024年预算数为150.00万元，比上年预算数增加</w:t>
      </w:r>
      <w:r>
        <w:rPr>
          <w:rFonts w:hint="eastAsia" w:ascii="仿宋" w:hAnsi="仿宋" w:eastAsia="仿宋" w:cs="仿宋"/>
          <w:sz w:val="30"/>
          <w:szCs w:val="30"/>
          <w:highlight w:val="none"/>
          <w:lang w:val="en-US" w:eastAsia="zh-CN"/>
        </w:rPr>
        <w:t>5</w:t>
      </w:r>
      <w:r>
        <w:rPr>
          <w:rFonts w:hint="eastAsia" w:ascii="仿宋" w:hAnsi="仿宋" w:eastAsia="仿宋" w:cs="仿宋"/>
          <w:sz w:val="30"/>
          <w:szCs w:val="30"/>
          <w:highlight w:val="none"/>
          <w:lang w:eastAsia="zh-CN"/>
        </w:rPr>
        <w:t>万元，主要原因是项目支出增加。</w:t>
      </w:r>
    </w:p>
    <w:p>
      <w:pPr>
        <w:ind w:firstLine="600" w:firstLineChars="200"/>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eastAsia="zh-CN"/>
        </w:rPr>
        <w:t>3.社会保障和就业支出（类）行政事业单位养老支出（款）机关事业单位基本养老保险缴费支出（项）2024年预算数为16.54万元，比上年预算数</w:t>
      </w:r>
      <w:r>
        <w:rPr>
          <w:rFonts w:hint="eastAsia" w:ascii="仿宋" w:hAnsi="仿宋" w:eastAsia="仿宋" w:cs="仿宋"/>
          <w:sz w:val="30"/>
          <w:szCs w:val="30"/>
          <w:highlight w:val="none"/>
          <w:lang w:eastAsia="zh-CN"/>
        </w:rPr>
        <w:t>增加2.08万元，主要原因是机关事业单位基本养老保险缴费支出</w:t>
      </w:r>
      <w:r>
        <w:rPr>
          <w:rFonts w:hint="eastAsia" w:ascii="仿宋" w:hAnsi="仿宋" w:eastAsia="仿宋" w:cs="仿宋"/>
          <w:sz w:val="30"/>
          <w:szCs w:val="30"/>
          <w:highlight w:val="none"/>
          <w:lang w:eastAsia="zh-CN"/>
        </w:rPr>
        <w:t xml:space="preserve">增加。 </w:t>
      </w:r>
    </w:p>
    <w:p>
      <w:pPr>
        <w:ind w:firstLine="600" w:firstLineChars="200"/>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val="en-US" w:eastAsia="zh-CN"/>
        </w:rPr>
        <w:t>4</w:t>
      </w:r>
      <w:r>
        <w:rPr>
          <w:rFonts w:hint="eastAsia" w:ascii="仿宋" w:hAnsi="仿宋" w:eastAsia="仿宋" w:cs="仿宋"/>
          <w:sz w:val="30"/>
          <w:szCs w:val="30"/>
          <w:highlight w:val="none"/>
          <w:lang w:eastAsia="zh-CN"/>
        </w:rPr>
        <w:t>.社会保障和就业支出（类）行政事业单位养老支出（款）机关事业单位职业年金缴费支出（项）2024年预算数为16.54万元，比上年预算数</w:t>
      </w:r>
      <w:r>
        <w:rPr>
          <w:rFonts w:hint="eastAsia" w:ascii="仿宋" w:hAnsi="仿宋" w:eastAsia="仿宋" w:cs="仿宋"/>
          <w:sz w:val="30"/>
          <w:szCs w:val="30"/>
          <w:highlight w:val="none"/>
          <w:lang w:eastAsia="zh-CN"/>
        </w:rPr>
        <w:t>增加</w:t>
      </w:r>
      <w:r>
        <w:rPr>
          <w:rFonts w:hint="eastAsia" w:ascii="仿宋" w:hAnsi="仿宋" w:eastAsia="仿宋" w:cs="仿宋"/>
          <w:sz w:val="30"/>
          <w:szCs w:val="30"/>
          <w:highlight w:val="none"/>
          <w:lang w:val="en-US" w:eastAsia="zh-CN"/>
        </w:rPr>
        <w:t>1.04</w:t>
      </w:r>
      <w:r>
        <w:rPr>
          <w:rFonts w:hint="eastAsia" w:ascii="仿宋" w:hAnsi="仿宋" w:eastAsia="仿宋" w:cs="仿宋"/>
          <w:sz w:val="30"/>
          <w:szCs w:val="30"/>
          <w:highlight w:val="none"/>
          <w:lang w:eastAsia="zh-CN"/>
        </w:rPr>
        <w:t>万元，主要原因是机关事业单位职业年金缴费支出</w:t>
      </w:r>
      <w:r>
        <w:rPr>
          <w:rFonts w:hint="eastAsia" w:ascii="仿宋" w:hAnsi="仿宋" w:eastAsia="仿宋" w:cs="仿宋"/>
          <w:sz w:val="30"/>
          <w:szCs w:val="30"/>
          <w:highlight w:val="none"/>
          <w:lang w:eastAsia="zh-CN"/>
        </w:rPr>
        <w:t xml:space="preserve">增加。 </w:t>
      </w:r>
    </w:p>
    <w:p>
      <w:pPr>
        <w:ind w:firstLine="600" w:firstLineChars="200"/>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val="en-US" w:eastAsia="zh-CN"/>
        </w:rPr>
        <w:t>5</w:t>
      </w:r>
      <w:r>
        <w:rPr>
          <w:rFonts w:hint="eastAsia" w:ascii="仿宋" w:hAnsi="仿宋" w:eastAsia="仿宋" w:cs="仿宋"/>
          <w:sz w:val="30"/>
          <w:szCs w:val="30"/>
          <w:highlight w:val="none"/>
          <w:lang w:eastAsia="zh-CN"/>
        </w:rPr>
        <w:t>.社会保障和就业支出（类）行政事业单位养老支出（款）其他行政事业单位养老支出（项）2024年预算数为7.80万元，比上年预算数增加</w:t>
      </w:r>
      <w:r>
        <w:rPr>
          <w:rFonts w:hint="eastAsia" w:ascii="仿宋" w:hAnsi="仿宋" w:eastAsia="仿宋" w:cs="仿宋"/>
          <w:sz w:val="30"/>
          <w:szCs w:val="30"/>
          <w:highlight w:val="none"/>
          <w:lang w:val="en-US" w:eastAsia="zh-CN"/>
        </w:rPr>
        <w:t>0.6</w:t>
      </w:r>
      <w:r>
        <w:rPr>
          <w:rFonts w:hint="eastAsia" w:ascii="仿宋" w:hAnsi="仿宋" w:eastAsia="仿宋" w:cs="仿宋"/>
          <w:sz w:val="30"/>
          <w:szCs w:val="30"/>
          <w:highlight w:val="none"/>
          <w:lang w:eastAsia="zh-CN"/>
        </w:rPr>
        <w:t xml:space="preserve">万元，主要原因是其他行政事业单位养老支出增加。 </w:t>
      </w:r>
    </w:p>
    <w:p>
      <w:pPr>
        <w:ind w:firstLine="600" w:firstLineChars="200"/>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val="en-US" w:eastAsia="zh-CN"/>
        </w:rPr>
        <w:t>6.</w:t>
      </w:r>
      <w:r>
        <w:rPr>
          <w:rFonts w:hint="eastAsia" w:ascii="仿宋" w:hAnsi="仿宋" w:eastAsia="仿宋" w:cs="仿宋"/>
          <w:sz w:val="30"/>
          <w:szCs w:val="30"/>
          <w:highlight w:val="none"/>
          <w:lang w:eastAsia="zh-CN"/>
        </w:rPr>
        <w:t>社会保障和就业支出（类）财政对基本养老保险基金的补助（款）财政对城乡居民基本养老保险基金的补助（项）2024年预算数为27189万元</w:t>
      </w:r>
      <w:r>
        <w:rPr>
          <w:rFonts w:hint="eastAsia" w:ascii="仿宋" w:hAnsi="仿宋" w:eastAsia="仿宋" w:cs="仿宋"/>
          <w:sz w:val="30"/>
          <w:szCs w:val="30"/>
          <w:highlight w:val="none"/>
          <w:lang w:val="en-US" w:eastAsia="zh-CN"/>
        </w:rPr>
        <w:t>,</w:t>
      </w:r>
      <w:r>
        <w:rPr>
          <w:rFonts w:hint="eastAsia" w:ascii="仿宋" w:hAnsi="仿宋" w:eastAsia="仿宋" w:cs="仿宋"/>
          <w:sz w:val="30"/>
          <w:szCs w:val="30"/>
          <w:highlight w:val="none"/>
          <w:lang w:eastAsia="zh-CN"/>
        </w:rPr>
        <w:t>比上年预算数增加</w:t>
      </w:r>
      <w:r>
        <w:rPr>
          <w:rFonts w:hint="eastAsia" w:ascii="仿宋" w:hAnsi="仿宋" w:eastAsia="仿宋" w:cs="仿宋"/>
          <w:sz w:val="30"/>
          <w:szCs w:val="30"/>
          <w:highlight w:val="none"/>
          <w:lang w:val="en-US" w:eastAsia="zh-CN"/>
        </w:rPr>
        <w:t>1436</w:t>
      </w:r>
      <w:r>
        <w:rPr>
          <w:rFonts w:hint="eastAsia" w:ascii="仿宋" w:hAnsi="仿宋" w:eastAsia="仿宋" w:cs="仿宋"/>
          <w:sz w:val="30"/>
          <w:szCs w:val="30"/>
          <w:highlight w:val="none"/>
          <w:lang w:eastAsia="zh-CN"/>
        </w:rPr>
        <w:t>万元</w:t>
      </w:r>
      <w:r>
        <w:rPr>
          <w:rFonts w:hint="eastAsia" w:ascii="仿宋" w:hAnsi="仿宋" w:eastAsia="仿宋" w:cs="仿宋"/>
          <w:sz w:val="30"/>
          <w:szCs w:val="30"/>
          <w:highlight w:val="none"/>
          <w:lang w:val="en-US" w:eastAsia="zh-CN"/>
        </w:rPr>
        <w:t>,</w:t>
      </w:r>
      <w:r>
        <w:rPr>
          <w:rFonts w:hint="eastAsia" w:ascii="仿宋" w:hAnsi="仿宋" w:eastAsia="仿宋" w:cs="仿宋"/>
          <w:sz w:val="30"/>
          <w:szCs w:val="30"/>
          <w:highlight w:val="none"/>
          <w:lang w:eastAsia="zh-CN"/>
        </w:rPr>
        <w:t>主要原因是财政对城乡居民基本养老保险基金的补助</w:t>
      </w:r>
      <w:r>
        <w:rPr>
          <w:rFonts w:hint="eastAsia" w:ascii="仿宋" w:hAnsi="仿宋" w:eastAsia="仿宋" w:cs="仿宋"/>
          <w:sz w:val="30"/>
          <w:szCs w:val="30"/>
          <w:highlight w:val="none"/>
          <w:lang w:eastAsia="zh-CN"/>
        </w:rPr>
        <w:t xml:space="preserve">增加。 </w:t>
      </w:r>
    </w:p>
    <w:p>
      <w:pPr>
        <w:ind w:firstLine="600" w:firstLineChars="200"/>
        <w:rPr>
          <w:rFonts w:hint="default"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 xml:space="preserve">7.社会保障和就业支出（类）财政代缴社会保险费支出（款）财政代缴城乡居民基本养老保险费支出（项）2024年预算数为398.00万元,为今年新增项目支出。 </w:t>
      </w:r>
    </w:p>
    <w:p>
      <w:pPr>
        <w:ind w:firstLine="600" w:firstLineChars="200"/>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val="en-US" w:eastAsia="zh-CN"/>
        </w:rPr>
        <w:t>8</w:t>
      </w:r>
      <w:r>
        <w:rPr>
          <w:rFonts w:hint="eastAsia" w:ascii="仿宋" w:hAnsi="仿宋" w:eastAsia="仿宋" w:cs="仿宋"/>
          <w:sz w:val="30"/>
          <w:szCs w:val="30"/>
          <w:highlight w:val="none"/>
          <w:lang w:eastAsia="zh-CN"/>
        </w:rPr>
        <w:t>.卫生健康支出（类）行政事业单位医疗（款）行政单位医疗（项）2024年预算数为10.39万元，与上年预算数持平，主要原因是基本支出不变。</w:t>
      </w:r>
    </w:p>
    <w:p>
      <w:pPr>
        <w:ind w:firstLine="600" w:firstLineChars="200"/>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val="en-US" w:eastAsia="zh-CN"/>
        </w:rPr>
        <w:t>9</w:t>
      </w:r>
      <w:r>
        <w:rPr>
          <w:rFonts w:hint="eastAsia" w:ascii="仿宋" w:hAnsi="仿宋" w:eastAsia="仿宋" w:cs="仿宋"/>
          <w:sz w:val="30"/>
          <w:szCs w:val="30"/>
          <w:highlight w:val="none"/>
          <w:lang w:eastAsia="zh-CN"/>
        </w:rPr>
        <w:t>.卫生健康支出（类）行政事业单位医疗（款）公务员医疗补助（项）2024年预算数为14.15万元，比上年预算数增加</w:t>
      </w:r>
      <w:r>
        <w:rPr>
          <w:rFonts w:hint="eastAsia" w:ascii="仿宋" w:hAnsi="仿宋" w:eastAsia="仿宋" w:cs="仿宋"/>
          <w:sz w:val="30"/>
          <w:szCs w:val="30"/>
          <w:highlight w:val="none"/>
          <w:lang w:val="en-US" w:eastAsia="zh-CN"/>
        </w:rPr>
        <w:t>1.41</w:t>
      </w:r>
      <w:r>
        <w:rPr>
          <w:rFonts w:hint="eastAsia" w:ascii="仿宋" w:hAnsi="仿宋" w:eastAsia="仿宋" w:cs="仿宋"/>
          <w:sz w:val="30"/>
          <w:szCs w:val="30"/>
          <w:highlight w:val="none"/>
          <w:lang w:eastAsia="zh-CN"/>
        </w:rPr>
        <w:t xml:space="preserve">万元，主要原因是基本支出增加。 </w:t>
      </w:r>
    </w:p>
    <w:p>
      <w:pPr>
        <w:ind w:firstLine="600" w:firstLineChars="200"/>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val="en-US" w:eastAsia="zh-CN"/>
        </w:rPr>
        <w:t>10</w:t>
      </w:r>
      <w:r>
        <w:rPr>
          <w:rFonts w:hint="eastAsia" w:ascii="仿宋" w:hAnsi="仿宋" w:eastAsia="仿宋" w:cs="仿宋"/>
          <w:sz w:val="30"/>
          <w:szCs w:val="30"/>
          <w:highlight w:val="none"/>
          <w:lang w:eastAsia="zh-CN"/>
        </w:rPr>
        <w:t>.卫生健康支出（类）行政事业单位医疗（款）其他行政事业单位医疗支出（项）2024年预算数为0.96万元，与上年预算数持平，主要原因是基本支出不变。</w:t>
      </w:r>
    </w:p>
    <w:p>
      <w:pPr>
        <w:ind w:firstLine="600" w:firstLineChars="200"/>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val="en-US" w:eastAsia="zh-CN"/>
        </w:rPr>
        <w:t>8</w:t>
      </w:r>
      <w:r>
        <w:rPr>
          <w:rFonts w:hint="eastAsia" w:ascii="仿宋" w:hAnsi="仿宋" w:eastAsia="仿宋" w:cs="仿宋"/>
          <w:sz w:val="30"/>
          <w:szCs w:val="30"/>
          <w:highlight w:val="none"/>
          <w:lang w:eastAsia="zh-CN"/>
        </w:rPr>
        <w:t>.住房保障支出（类）住房改革支出（款）住房公积金（项）2024年预算数为</w:t>
      </w:r>
      <w:r>
        <w:rPr>
          <w:rFonts w:hint="eastAsia" w:ascii="仿宋" w:hAnsi="仿宋" w:eastAsia="仿宋" w:cs="仿宋"/>
          <w:sz w:val="30"/>
          <w:szCs w:val="30"/>
          <w:highlight w:val="none"/>
          <w:lang w:val="en-US" w:eastAsia="zh-CN"/>
        </w:rPr>
        <w:t>16.98</w:t>
      </w:r>
      <w:r>
        <w:rPr>
          <w:rFonts w:hint="eastAsia" w:ascii="仿宋" w:hAnsi="仿宋" w:eastAsia="仿宋" w:cs="仿宋"/>
          <w:sz w:val="30"/>
          <w:szCs w:val="30"/>
          <w:highlight w:val="none"/>
          <w:lang w:eastAsia="zh-CN"/>
        </w:rPr>
        <w:t>万元，比上年预算数增加</w:t>
      </w:r>
      <w:r>
        <w:rPr>
          <w:rFonts w:hint="eastAsia" w:ascii="仿宋" w:hAnsi="仿宋" w:eastAsia="仿宋" w:cs="仿宋"/>
          <w:sz w:val="30"/>
          <w:szCs w:val="30"/>
          <w:highlight w:val="none"/>
          <w:lang w:val="en-US" w:eastAsia="zh-CN"/>
        </w:rPr>
        <w:t>1.69</w:t>
      </w:r>
      <w:r>
        <w:rPr>
          <w:rFonts w:hint="eastAsia" w:ascii="仿宋" w:hAnsi="仿宋" w:eastAsia="仿宋" w:cs="仿宋"/>
          <w:sz w:val="30"/>
          <w:szCs w:val="30"/>
          <w:highlight w:val="none"/>
          <w:lang w:eastAsia="zh-CN"/>
        </w:rPr>
        <w:t>万元，主要原因是基本人员经费增加。</w:t>
      </w:r>
    </w:p>
    <w:p>
      <w:pPr>
        <w:ind w:firstLine="600" w:firstLineChars="200"/>
        <w:rPr>
          <w:rFonts w:hint="default"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9.</w:t>
      </w:r>
      <w:r>
        <w:rPr>
          <w:rFonts w:hint="eastAsia" w:ascii="仿宋" w:hAnsi="仿宋" w:eastAsia="仿宋" w:cs="仿宋"/>
          <w:sz w:val="30"/>
          <w:szCs w:val="30"/>
          <w:highlight w:val="none"/>
          <w:lang w:eastAsia="zh-CN"/>
        </w:rPr>
        <w:t>住房保障支出（类）住房改革支出（款）</w:t>
      </w:r>
      <w:r>
        <w:rPr>
          <w:rFonts w:hint="eastAsia" w:ascii="仿宋" w:hAnsi="仿宋" w:eastAsia="仿宋" w:cs="仿宋"/>
          <w:sz w:val="30"/>
          <w:szCs w:val="30"/>
          <w:highlight w:val="none"/>
          <w:lang w:val="en-US" w:eastAsia="zh-CN"/>
        </w:rPr>
        <w:t>购房补贴</w:t>
      </w:r>
      <w:r>
        <w:rPr>
          <w:rFonts w:hint="eastAsia" w:ascii="仿宋" w:hAnsi="仿宋" w:eastAsia="仿宋" w:cs="仿宋"/>
          <w:sz w:val="30"/>
          <w:szCs w:val="30"/>
          <w:highlight w:val="none"/>
          <w:lang w:eastAsia="zh-CN"/>
        </w:rPr>
        <w:t>（项）2024年预算数为</w:t>
      </w:r>
      <w:r>
        <w:rPr>
          <w:rFonts w:hint="eastAsia" w:ascii="仿宋" w:hAnsi="仿宋" w:eastAsia="仿宋" w:cs="仿宋"/>
          <w:sz w:val="30"/>
          <w:szCs w:val="30"/>
          <w:highlight w:val="none"/>
          <w:lang w:val="en-US" w:eastAsia="zh-CN"/>
        </w:rPr>
        <w:t>0.17</w:t>
      </w:r>
      <w:r>
        <w:rPr>
          <w:rFonts w:hint="eastAsia" w:ascii="仿宋" w:hAnsi="仿宋" w:eastAsia="仿宋" w:cs="仿宋"/>
          <w:sz w:val="30"/>
          <w:szCs w:val="30"/>
          <w:highlight w:val="none"/>
          <w:lang w:eastAsia="zh-CN"/>
        </w:rPr>
        <w:t>万元，比上年持平，主要原因是补贴经费不变。</w:t>
      </w:r>
    </w:p>
    <w:p>
      <w:pPr>
        <w:ind w:firstLine="640"/>
        <w:rPr>
          <w:rFonts w:hint="eastAsia" w:ascii="黑体" w:hAnsi="黑体" w:eastAsia="黑体" w:cs="黑体"/>
          <w:sz w:val="30"/>
          <w:szCs w:val="30"/>
          <w:highlight w:val="none"/>
        </w:rPr>
      </w:pPr>
      <w:r>
        <w:rPr>
          <w:rFonts w:hint="eastAsia" w:ascii="黑体" w:hAnsi="黑体" w:eastAsia="黑体" w:cs="黑体"/>
          <w:sz w:val="30"/>
          <w:szCs w:val="30"/>
          <w:highlight w:val="none"/>
        </w:rPr>
        <w:t>三、关于</w:t>
      </w:r>
      <w:r>
        <w:rPr>
          <w:rFonts w:hint="eastAsia" w:ascii="黑体" w:hAnsi="黑体" w:eastAsia="黑体" w:cs="黑体"/>
          <w:sz w:val="30"/>
          <w:szCs w:val="30"/>
          <w:highlight w:val="none"/>
          <w:lang w:eastAsia="zh-CN"/>
        </w:rPr>
        <w:t>海口市农村社会养老保险局2024</w:t>
      </w:r>
      <w:r>
        <w:rPr>
          <w:rFonts w:hint="eastAsia" w:ascii="黑体" w:hAnsi="黑体" w:eastAsia="黑体" w:cs="黑体"/>
          <w:sz w:val="30"/>
          <w:szCs w:val="30"/>
          <w:highlight w:val="none"/>
        </w:rPr>
        <w:t>年一般公共预算基本支出情况说明</w:t>
      </w:r>
    </w:p>
    <w:p>
      <w:pPr>
        <w:ind w:firstLine="600" w:firstLineChars="200"/>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eastAsia="zh-CN"/>
        </w:rPr>
        <w:t>海口市农村社会养老保险局2024年一般公共预算基本支出为250.59万元，其中：</w:t>
      </w:r>
    </w:p>
    <w:p>
      <w:pPr>
        <w:ind w:firstLine="600" w:firstLineChars="200"/>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eastAsia="zh-CN"/>
        </w:rPr>
        <w:t>人员经费227.34万元，主要包括：基本工资42.20万元、津贴补贴60.60万元、奖金33.76万元、机关事业单位基本养老保险缴费18.62万元、职业年金缴费9.31万元、职工基本医疗保险缴费10.39万元、公务员医疗补助缴费14.15万元、其他社会保障缴费1.71万元、住房公积金16.98万元、医疗费0.96万元、其他工资福利支出1.33万元、商品和服务支出9.36万元、邮电费1.52万元、其他交通费用7.84万元、对个人和家庭的补助7.98万元、医疗费补助7.80万元、奖励金0.18万元；</w:t>
      </w:r>
    </w:p>
    <w:p>
      <w:pPr>
        <w:ind w:firstLine="600" w:firstLineChars="200"/>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eastAsia="zh-CN"/>
        </w:rPr>
        <w:t>公用经费23.25万元，主要包括：其他社会保障缴费1.50万元、其他工资福利支出0.30万元、商品和服务支出20.95万元、办公费3.71万元、手续费0.1万元、邮电费1.50万元、差旅费2.97万元、维修(护)费0.63万元、委托业务费0.5万元、工会经费2.23万元、公务用车运行维护费3.33万元、其他商品和服务支出4.45万元、对个人和家庭的补助0.50万元、救济费0.50万元。</w:t>
      </w:r>
    </w:p>
    <w:p>
      <w:pPr>
        <w:ind w:firstLine="600" w:firstLineChars="200"/>
        <w:rPr>
          <w:rFonts w:hint="eastAsia" w:ascii="仿宋" w:hAnsi="仿宋" w:eastAsia="仿宋" w:cs="仿宋"/>
          <w:sz w:val="30"/>
          <w:szCs w:val="30"/>
          <w:highlight w:val="none"/>
          <w:shd w:val="clear" w:color="auto" w:fill="FFFFFF"/>
        </w:rPr>
      </w:pPr>
      <w:r>
        <w:rPr>
          <w:rFonts w:hint="eastAsia" w:ascii="黑体" w:hAnsi="黑体" w:eastAsia="黑体" w:cs="黑体"/>
          <w:sz w:val="30"/>
          <w:szCs w:val="30"/>
          <w:highlight w:val="none"/>
          <w:shd w:val="clear" w:color="auto" w:fill="FFFFFF"/>
        </w:rPr>
        <w:t>四、</w:t>
      </w:r>
      <w:r>
        <w:rPr>
          <w:rFonts w:hint="eastAsia" w:ascii="黑体" w:hAnsi="黑体" w:eastAsia="黑体" w:cs="黑体"/>
          <w:sz w:val="30"/>
          <w:szCs w:val="30"/>
          <w:highlight w:val="none"/>
          <w:lang w:eastAsia="zh-CN"/>
        </w:rPr>
        <w:t>海口市农村社会养老保险局2024</w:t>
      </w:r>
      <w:r>
        <w:rPr>
          <w:rFonts w:hint="eastAsia" w:ascii="黑体" w:hAnsi="黑体" w:eastAsia="黑体" w:cs="黑体"/>
          <w:sz w:val="30"/>
          <w:szCs w:val="30"/>
          <w:highlight w:val="none"/>
        </w:rPr>
        <w:t>年</w:t>
      </w:r>
      <w:r>
        <w:rPr>
          <w:rFonts w:hint="eastAsia" w:ascii="黑体" w:hAnsi="黑体" w:eastAsia="黑体" w:cs="黑体"/>
          <w:sz w:val="30"/>
          <w:szCs w:val="30"/>
          <w:highlight w:val="none"/>
          <w:shd w:val="clear" w:color="auto" w:fill="FFFFFF"/>
        </w:rPr>
        <w:t>“三公”经费预算情况说明</w:t>
      </w:r>
    </w:p>
    <w:p>
      <w:pPr>
        <w:ind w:firstLine="600" w:firstLineChars="200"/>
        <w:rPr>
          <w:rFonts w:ascii="仿宋_GB2312" w:hAnsi="黑体" w:eastAsia="仿宋_GB2312" w:cs="Times New Roman"/>
          <w:sz w:val="32"/>
          <w:szCs w:val="32"/>
          <w:highlight w:val="none"/>
        </w:rPr>
      </w:pPr>
      <w:r>
        <w:rPr>
          <w:rFonts w:hint="eastAsia" w:ascii="仿宋" w:hAnsi="仿宋" w:eastAsia="仿宋" w:cs="仿宋"/>
          <w:sz w:val="30"/>
          <w:szCs w:val="30"/>
          <w:highlight w:val="none"/>
        </w:rPr>
        <w:t>（一）</w:t>
      </w:r>
      <w:r>
        <w:rPr>
          <w:rFonts w:hint="eastAsia" w:ascii="仿宋" w:hAnsi="仿宋" w:eastAsia="仿宋" w:cs="仿宋"/>
          <w:sz w:val="30"/>
          <w:szCs w:val="30"/>
          <w:highlight w:val="none"/>
          <w:lang w:eastAsia="zh-CN"/>
        </w:rPr>
        <w:t>海口市农村社会养老保险局2024年一般公共预算“三公”经费预算数为3.33万元</w:t>
      </w:r>
      <w:r>
        <w:rPr>
          <w:rFonts w:hint="eastAsia" w:ascii="仿宋" w:hAnsi="仿宋" w:eastAsia="仿宋" w:cs="仿宋"/>
          <w:sz w:val="30"/>
          <w:szCs w:val="30"/>
          <w:highlight w:val="none"/>
        </w:rPr>
        <w:t>，其中：</w:t>
      </w:r>
    </w:p>
    <w:p>
      <w:pPr>
        <w:ind w:firstLine="630"/>
        <w:rPr>
          <w:rFonts w:ascii="Times New Roman" w:hAnsi="Times New Roman" w:eastAsia="仿宋_GB2312" w:cs="Times New Roman"/>
          <w:sz w:val="32"/>
          <w:highlight w:val="none"/>
          <w:shd w:val="clear" w:color="auto" w:fill="FFFFFF"/>
        </w:rPr>
      </w:pPr>
      <w:r>
        <w:rPr>
          <w:rFonts w:ascii="Times New Roman" w:hAnsi="Times New Roman" w:eastAsia="仿宋_GB2312" w:cs="Times New Roman"/>
          <w:sz w:val="32"/>
          <w:highlight w:val="none"/>
          <w:shd w:val="clear" w:color="auto" w:fill="FFFFFF"/>
        </w:rPr>
        <w:t>因公出国（境）经费</w:t>
      </w:r>
      <w:r>
        <w:rPr>
          <w:rFonts w:hint="eastAsia" w:ascii="Times New Roman" w:hAnsi="Times New Roman" w:eastAsia="仿宋_GB2312" w:cs="Times New Roman"/>
          <w:sz w:val="32"/>
          <w:highlight w:val="none"/>
          <w:shd w:val="clear" w:color="auto" w:fill="FFFFFF"/>
          <w:lang w:val="en-US" w:eastAsia="zh-CN"/>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年预算持平/较</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年预算下降</w:t>
      </w:r>
      <w:r>
        <w:rPr>
          <w:rFonts w:hint="eastAsia" w:ascii="Times New Roman" w:hAnsi="Times New Roman" w:eastAsia="仿宋_GB2312" w:cs="Times New Roman"/>
          <w:sz w:val="32"/>
          <w:highlight w:val="none"/>
          <w:shd w:val="clear" w:color="auto" w:fill="FFFFFF"/>
          <w:lang w:val="en-US" w:eastAsia="zh-CN"/>
        </w:rPr>
        <w:t>0</w:t>
      </w:r>
      <w:r>
        <w:rPr>
          <w:rFonts w:ascii="Times New Roman" w:hAnsi="Times New Roman" w:eastAsia="仿宋_GB2312" w:cs="Times New Roman"/>
          <w:sz w:val="32"/>
          <w:highlight w:val="none"/>
          <w:shd w:val="clear" w:color="auto" w:fill="FFFFFF"/>
        </w:rPr>
        <w:t>%/较</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年预算增长</w:t>
      </w:r>
      <w:r>
        <w:rPr>
          <w:rFonts w:hint="eastAsia" w:ascii="Times New Roman" w:hAnsi="Times New Roman" w:eastAsia="仿宋_GB2312" w:cs="Times New Roman"/>
          <w:sz w:val="32"/>
          <w:highlight w:val="none"/>
          <w:shd w:val="clear" w:color="auto" w:fill="FFFFFF"/>
          <w:lang w:val="en-US" w:eastAsia="zh-CN"/>
        </w:rPr>
        <w:t>0</w:t>
      </w:r>
      <w:r>
        <w:rPr>
          <w:rFonts w:ascii="Times New Roman" w:hAnsi="Times New Roman" w:eastAsia="仿宋_GB2312" w:cs="Times New Roman"/>
          <w:sz w:val="32"/>
          <w:highlight w:val="none"/>
          <w:shd w:val="clear" w:color="auto" w:fill="FFFFFF"/>
        </w:rPr>
        <w:t>%。</w:t>
      </w:r>
      <w:r>
        <w:rPr>
          <w:rFonts w:ascii="Times New Roman" w:hAnsi="Times New Roman" w:eastAsia="仿宋_GB2312" w:cs="Times New Roman"/>
          <w:sz w:val="32"/>
          <w:highlight w:val="none"/>
        </w:rPr>
        <w:t>下降/增长的</w:t>
      </w:r>
      <w:r>
        <w:rPr>
          <w:rFonts w:ascii="Times New Roman" w:hAnsi="Times New Roman" w:eastAsia="仿宋_GB2312" w:cs="Times New Roman"/>
          <w:sz w:val="32"/>
          <w:highlight w:val="none"/>
          <w:shd w:val="clear" w:color="auto" w:fill="FFFFFF"/>
        </w:rPr>
        <w:t>主要原因包括：</w:t>
      </w:r>
      <w:r>
        <w:rPr>
          <w:rFonts w:hint="eastAsia" w:ascii="Times New Roman" w:hAnsi="Times New Roman" w:eastAsia="仿宋_GB2312" w:cs="Times New Roman"/>
          <w:sz w:val="32"/>
          <w:highlight w:val="none"/>
          <w:shd w:val="clear" w:color="auto" w:fill="FFFFFF"/>
          <w:lang w:eastAsia="zh-CN"/>
        </w:rPr>
        <w:t>无。我单位无预算</w:t>
      </w:r>
      <w:r>
        <w:rPr>
          <w:rFonts w:hint="eastAsia" w:ascii="Times New Roman" w:hAnsi="Times New Roman" w:eastAsia="仿宋_GB2312" w:cs="Times New Roman"/>
          <w:sz w:val="32"/>
          <w:highlight w:val="none"/>
          <w:shd w:val="clear" w:color="auto" w:fill="FFFFFF"/>
        </w:rPr>
        <w:t>。</w:t>
      </w:r>
      <w:r>
        <w:rPr>
          <w:rFonts w:ascii="Times New Roman" w:hAnsi="Times New Roman" w:eastAsia="仿宋_GB2312" w:cs="Times New Roman"/>
          <w:sz w:val="32"/>
          <w:highlight w:val="none"/>
          <w:shd w:val="clear" w:color="auto" w:fill="FFFFFF"/>
        </w:rPr>
        <w:t>根据（如外事部门等）安排的</w:t>
      </w:r>
      <w:r>
        <w:rPr>
          <w:rFonts w:hint="eastAsia" w:ascii="Times New Roman" w:hAnsi="Times New Roman" w:eastAsia="仿宋_GB2312" w:cs="Times New Roman"/>
          <w:sz w:val="32"/>
          <w:highlight w:val="none"/>
          <w:shd w:val="clear" w:color="auto" w:fill="FFFFFF"/>
          <w:lang w:val="en-US" w:eastAsia="zh-CN"/>
        </w:rPr>
        <w:t>2024</w:t>
      </w:r>
      <w:r>
        <w:rPr>
          <w:rFonts w:ascii="Times New Roman" w:hAnsi="Times New Roman" w:eastAsia="仿宋_GB2312" w:cs="Times New Roman"/>
          <w:sz w:val="32"/>
          <w:highlight w:val="none"/>
          <w:shd w:val="clear" w:color="auto" w:fill="FFFFFF"/>
        </w:rPr>
        <w:t>年出国计划，拟安排出国（境）</w:t>
      </w:r>
      <w:r>
        <w:rPr>
          <w:rFonts w:hint="eastAsia" w:ascii="Times New Roman" w:hAnsi="Times New Roman" w:eastAsia="仿宋_GB2312" w:cs="Times New Roman"/>
          <w:sz w:val="32"/>
          <w:highlight w:val="none"/>
          <w:shd w:val="clear" w:color="auto" w:fill="FFFFFF"/>
        </w:rPr>
        <w:t>团（</w:t>
      </w:r>
      <w:r>
        <w:rPr>
          <w:rFonts w:ascii="Times New Roman" w:hAnsi="Times New Roman" w:eastAsia="仿宋_GB2312" w:cs="Times New Roman"/>
          <w:sz w:val="32"/>
          <w:highlight w:val="none"/>
          <w:shd w:val="clear" w:color="auto" w:fill="FFFFFF"/>
        </w:rPr>
        <w:t>组</w:t>
      </w:r>
      <w:r>
        <w:rPr>
          <w:rFonts w:hint="eastAsia" w:ascii="Times New Roman" w:hAnsi="Times New Roman" w:eastAsia="仿宋_GB2312" w:cs="Times New Roman"/>
          <w:sz w:val="32"/>
          <w:highlight w:val="none"/>
          <w:shd w:val="clear" w:color="auto" w:fill="FFFFFF"/>
        </w:rPr>
        <w:t>）</w:t>
      </w:r>
      <w:r>
        <w:rPr>
          <w:rFonts w:hint="eastAsia" w:ascii="Times New Roman" w:hAnsi="Times New Roman" w:eastAsia="仿宋_GB2312" w:cs="Times New Roman"/>
          <w:sz w:val="32"/>
          <w:highlight w:val="none"/>
          <w:shd w:val="clear" w:color="auto" w:fill="FFFFFF"/>
          <w:lang w:val="en-US" w:eastAsia="zh-CN"/>
        </w:rPr>
        <w:t>0</w:t>
      </w:r>
      <w:r>
        <w:rPr>
          <w:rFonts w:ascii="Times New Roman" w:hAnsi="Times New Roman" w:eastAsia="仿宋_GB2312" w:cs="Times New Roman"/>
          <w:sz w:val="32"/>
          <w:highlight w:val="none"/>
          <w:shd w:val="clear" w:color="auto" w:fill="FFFFFF"/>
        </w:rPr>
        <w:t>次，出国（境）</w:t>
      </w:r>
      <w:r>
        <w:rPr>
          <w:rFonts w:hint="eastAsia" w:ascii="Times New Roman" w:hAnsi="Times New Roman" w:eastAsia="仿宋_GB2312" w:cs="Times New Roman"/>
          <w:sz w:val="32"/>
          <w:highlight w:val="none"/>
          <w:shd w:val="clear" w:color="auto" w:fill="FFFFFF"/>
          <w:lang w:val="en-US" w:eastAsia="zh-CN"/>
        </w:rPr>
        <w:t>0</w:t>
      </w:r>
      <w:r>
        <w:rPr>
          <w:rFonts w:ascii="Times New Roman" w:hAnsi="Times New Roman" w:eastAsia="仿宋_GB2312" w:cs="Times New Roman"/>
          <w:sz w:val="32"/>
          <w:highlight w:val="none"/>
          <w:shd w:val="clear" w:color="auto" w:fill="FFFFFF"/>
        </w:rPr>
        <w:t>人。出国（境）团组主要包括：1.</w:t>
      </w:r>
      <w:r>
        <w:rPr>
          <w:rFonts w:hint="eastAsia" w:ascii="Times New Roman" w:hAnsi="Times New Roman" w:eastAsia="仿宋_GB2312" w:cs="Times New Roman"/>
          <w:sz w:val="32"/>
          <w:highlight w:val="none"/>
          <w:shd w:val="clear" w:color="auto" w:fill="FFFFFF"/>
          <w:lang w:eastAsia="zh-CN"/>
        </w:rPr>
        <w:t>无</w:t>
      </w:r>
      <w:r>
        <w:rPr>
          <w:rFonts w:ascii="Times New Roman" w:hAnsi="Times New Roman" w:eastAsia="仿宋_GB2312" w:cs="Times New Roman"/>
          <w:sz w:val="32"/>
          <w:highlight w:val="none"/>
          <w:shd w:val="clear" w:color="auto" w:fill="FFFFFF"/>
        </w:rPr>
        <w:t>团组：目的地为</w:t>
      </w:r>
      <w:r>
        <w:rPr>
          <w:rFonts w:hint="eastAsia" w:ascii="Times New Roman" w:hAnsi="Times New Roman" w:eastAsia="仿宋_GB2312" w:cs="Times New Roman"/>
          <w:sz w:val="32"/>
          <w:highlight w:val="none"/>
          <w:shd w:val="clear" w:color="auto" w:fill="FFFFFF"/>
          <w:lang w:eastAsia="zh-CN"/>
        </w:rPr>
        <w:t>无</w:t>
      </w:r>
      <w:r>
        <w:rPr>
          <w:rFonts w:ascii="Times New Roman" w:hAnsi="Times New Roman" w:eastAsia="仿宋_GB2312" w:cs="Times New Roman"/>
          <w:sz w:val="32"/>
          <w:highlight w:val="none"/>
          <w:shd w:val="clear" w:color="auto" w:fill="FFFFFF"/>
        </w:rPr>
        <w:t>，人数为</w:t>
      </w:r>
      <w:r>
        <w:rPr>
          <w:rFonts w:hint="eastAsia" w:ascii="Times New Roman" w:hAnsi="Times New Roman" w:eastAsia="仿宋_GB2312" w:cs="Times New Roman"/>
          <w:sz w:val="32"/>
          <w:highlight w:val="none"/>
          <w:shd w:val="clear" w:color="auto" w:fill="FFFFFF"/>
          <w:lang w:val="en-US" w:eastAsia="zh-CN"/>
        </w:rPr>
        <w:t>0</w:t>
      </w:r>
      <w:r>
        <w:rPr>
          <w:rFonts w:ascii="Times New Roman" w:hAnsi="Times New Roman" w:eastAsia="仿宋_GB2312" w:cs="Times New Roman"/>
          <w:sz w:val="32"/>
          <w:highlight w:val="none"/>
          <w:shd w:val="clear" w:color="auto" w:fill="FFFFFF"/>
        </w:rPr>
        <w:t>人，天数为</w:t>
      </w:r>
      <w:r>
        <w:rPr>
          <w:rFonts w:hint="eastAsia" w:ascii="Times New Roman" w:hAnsi="Times New Roman" w:eastAsia="仿宋_GB2312" w:cs="Times New Roman"/>
          <w:sz w:val="32"/>
          <w:highlight w:val="none"/>
          <w:shd w:val="clear" w:color="auto" w:fill="FFFFFF"/>
          <w:lang w:val="en-US" w:eastAsia="zh-CN"/>
        </w:rPr>
        <w:t>0</w:t>
      </w:r>
      <w:r>
        <w:rPr>
          <w:rFonts w:ascii="Times New Roman" w:hAnsi="Times New Roman" w:eastAsia="仿宋_GB2312" w:cs="Times New Roman"/>
          <w:sz w:val="32"/>
          <w:highlight w:val="none"/>
          <w:shd w:val="clear" w:color="auto" w:fill="FFFFFF"/>
        </w:rPr>
        <w:t>天，主要任务为</w:t>
      </w:r>
      <w:r>
        <w:rPr>
          <w:rFonts w:hint="eastAsia" w:ascii="Times New Roman" w:hAnsi="Times New Roman" w:eastAsia="仿宋_GB2312" w:cs="Times New Roman"/>
          <w:sz w:val="32"/>
          <w:highlight w:val="none"/>
          <w:shd w:val="clear" w:color="auto" w:fill="FFFFFF"/>
          <w:lang w:eastAsia="zh-CN"/>
        </w:rPr>
        <w:t>，无；</w:t>
      </w:r>
      <w:r>
        <w:rPr>
          <w:rFonts w:ascii="Times New Roman" w:hAnsi="Times New Roman" w:eastAsia="仿宋_GB2312" w:cs="Times New Roman"/>
          <w:sz w:val="32"/>
          <w:highlight w:val="none"/>
          <w:shd w:val="clear" w:color="auto" w:fill="FFFFFF"/>
        </w:rPr>
        <w:t>公务用车购置及运行费</w:t>
      </w:r>
      <w:r>
        <w:rPr>
          <w:rFonts w:hint="eastAsia" w:ascii="Times New Roman" w:hAnsi="Times New Roman" w:eastAsia="仿宋_GB2312" w:cs="Times New Roman"/>
          <w:sz w:val="32"/>
          <w:highlight w:val="none"/>
          <w:shd w:val="clear" w:color="auto" w:fill="FFFFFF"/>
          <w:lang w:val="en-US" w:eastAsia="zh-CN"/>
        </w:rPr>
        <w:t>3.33</w:t>
      </w:r>
      <w:r>
        <w:rPr>
          <w:rFonts w:hint="eastAsia" w:ascii="仿宋_GB2312" w:hAnsi="黑体" w:eastAsia="仿宋_GB2312"/>
          <w:sz w:val="32"/>
          <w:szCs w:val="32"/>
          <w:highlight w:val="none"/>
        </w:rPr>
        <w:t>万元（其中，</w:t>
      </w:r>
      <w:r>
        <w:rPr>
          <w:rFonts w:ascii="Times New Roman" w:hAnsi="Times New Roman" w:eastAsia="仿宋_GB2312" w:cs="Times New Roman"/>
          <w:sz w:val="32"/>
          <w:highlight w:val="none"/>
          <w:shd w:val="clear" w:color="auto" w:fill="FFFFFF"/>
        </w:rPr>
        <w:t>公务用车购置</w:t>
      </w:r>
      <w:r>
        <w:rPr>
          <w:rFonts w:hint="eastAsia" w:ascii="Times New Roman" w:hAnsi="Times New Roman" w:eastAsia="仿宋_GB2312" w:cs="Times New Roman"/>
          <w:sz w:val="32"/>
          <w:highlight w:val="none"/>
          <w:shd w:val="clear" w:color="auto" w:fill="FFFFFF"/>
        </w:rPr>
        <w:t>费</w:t>
      </w:r>
      <w:r>
        <w:rPr>
          <w:rFonts w:hint="eastAsia" w:ascii="Times New Roman" w:hAnsi="Times New Roman" w:eastAsia="仿宋_GB2312" w:cs="Times New Roman"/>
          <w:sz w:val="32"/>
          <w:highlight w:val="none"/>
          <w:shd w:val="clear" w:color="auto" w:fill="FFFFFF"/>
          <w:lang w:val="en-US" w:eastAsia="zh-CN"/>
        </w:rPr>
        <w:t>0</w:t>
      </w:r>
      <w:r>
        <w:rPr>
          <w:rFonts w:hint="eastAsia" w:ascii="仿宋_GB2312" w:hAnsi="黑体" w:eastAsia="仿宋_GB2312"/>
          <w:sz w:val="32"/>
          <w:szCs w:val="32"/>
          <w:highlight w:val="none"/>
        </w:rPr>
        <w:t>万元</w:t>
      </w:r>
      <w:r>
        <w:rPr>
          <w:rFonts w:hint="eastAsia" w:ascii="Times New Roman" w:hAnsi="Times New Roman" w:eastAsia="仿宋_GB2312" w:cs="Times New Roman"/>
          <w:sz w:val="32"/>
          <w:highlight w:val="none"/>
          <w:shd w:val="clear" w:color="auto" w:fill="FFFFFF"/>
        </w:rPr>
        <w:t>，公务用车</w:t>
      </w:r>
      <w:r>
        <w:rPr>
          <w:rFonts w:ascii="Times New Roman" w:hAnsi="Times New Roman" w:eastAsia="仿宋_GB2312" w:cs="Times New Roman"/>
          <w:sz w:val="32"/>
          <w:highlight w:val="none"/>
          <w:shd w:val="clear" w:color="auto" w:fill="FFFFFF"/>
        </w:rPr>
        <w:t>运行费</w:t>
      </w:r>
      <w:r>
        <w:rPr>
          <w:rFonts w:hint="eastAsia" w:ascii="Times New Roman" w:hAnsi="Times New Roman" w:eastAsia="仿宋_GB2312" w:cs="Times New Roman"/>
          <w:sz w:val="32"/>
          <w:highlight w:val="none"/>
          <w:shd w:val="clear" w:color="auto" w:fill="FFFFFF"/>
          <w:lang w:val="en-US" w:eastAsia="zh-CN"/>
        </w:rPr>
        <w:t>3.33</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w:t>
      </w:r>
      <w:r>
        <w:rPr>
          <w:rFonts w:hint="eastAsia" w:ascii="仿宋" w:hAnsi="仿宋" w:eastAsia="仿宋" w:cs="仿宋"/>
          <w:sz w:val="30"/>
          <w:szCs w:val="30"/>
          <w:highlight w:val="none"/>
          <w:lang w:eastAsia="zh-CN"/>
        </w:rPr>
        <w:t>比上年预算数减少</w:t>
      </w:r>
      <w:r>
        <w:rPr>
          <w:rFonts w:hint="eastAsia" w:ascii="仿宋" w:hAnsi="仿宋" w:eastAsia="仿宋" w:cs="仿宋"/>
          <w:sz w:val="30"/>
          <w:szCs w:val="30"/>
          <w:highlight w:val="none"/>
          <w:lang w:val="en-US" w:eastAsia="zh-CN"/>
        </w:rPr>
        <w:t>0.17万元</w:t>
      </w:r>
      <w:r>
        <w:rPr>
          <w:rFonts w:hint="eastAsia" w:ascii="Times New Roman" w:hAnsi="Times New Roman" w:eastAsia="仿宋_GB2312" w:cs="Times New Roman"/>
          <w:sz w:val="32"/>
          <w:highlight w:val="none"/>
          <w:shd w:val="clear" w:color="auto" w:fill="FFFFFF"/>
        </w:rPr>
        <w:t>。公务车保有量</w:t>
      </w:r>
      <w:r>
        <w:rPr>
          <w:rFonts w:hint="eastAsia" w:ascii="Times New Roman" w:hAnsi="Times New Roman" w:eastAsia="仿宋_GB2312" w:cs="Times New Roman"/>
          <w:sz w:val="32"/>
          <w:highlight w:val="none"/>
          <w:shd w:val="clear" w:color="auto" w:fill="FFFFFF"/>
          <w:lang w:val="en-US" w:eastAsia="zh-CN"/>
        </w:rPr>
        <w:t>1</w:t>
      </w:r>
      <w:r>
        <w:rPr>
          <w:rFonts w:hint="eastAsia" w:ascii="仿宋_GB2312" w:hAnsi="黑体" w:eastAsia="仿宋_GB2312" w:cs="仿宋_GB2312"/>
          <w:sz w:val="32"/>
          <w:szCs w:val="32"/>
          <w:highlight w:val="none"/>
        </w:rPr>
        <w:t>辆，计划购置</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w:t>
      </w:r>
      <w:r>
        <w:rPr>
          <w:rFonts w:hint="eastAsia" w:ascii="Times New Roman" w:hAnsi="Times New Roman" w:eastAsia="仿宋_GB2312" w:cs="Times New Roman"/>
          <w:sz w:val="32"/>
          <w:highlight w:val="none"/>
          <w:shd w:val="clear" w:color="auto" w:fill="FFFFFF"/>
        </w:rPr>
        <w:t>；</w:t>
      </w:r>
      <w:r>
        <w:rPr>
          <w:rFonts w:ascii="仿宋_GB2312" w:hAnsi="黑体" w:eastAsia="仿宋_GB2312" w:cs="Times New Roman"/>
          <w:sz w:val="32"/>
          <w:szCs w:val="32"/>
          <w:highlight w:val="none"/>
        </w:rPr>
        <w:t>公务接待费</w:t>
      </w:r>
      <w:r>
        <w:rPr>
          <w:rFonts w:hint="eastAsia" w:ascii="仿宋_GB2312" w:hAnsi="黑体" w:eastAsia="仿宋_GB2312" w:cs="Times New Roman"/>
          <w:sz w:val="32"/>
          <w:szCs w:val="32"/>
          <w:highlight w:val="none"/>
          <w:lang w:val="en-US" w:eastAsia="zh-CN"/>
        </w:rPr>
        <w:t>0</w:t>
      </w:r>
      <w:r>
        <w:rPr>
          <w:rFonts w:ascii="Times New Roman" w:hAnsi="Times New Roman" w:eastAsia="仿宋_GB2312" w:cs="Times New Roman"/>
          <w:sz w:val="32"/>
          <w:highlight w:val="none"/>
          <w:shd w:val="clear" w:color="auto" w:fill="FFFFFF"/>
        </w:rPr>
        <w:t>万元，与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年预算持平/较</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年预算下降</w:t>
      </w:r>
      <w:r>
        <w:rPr>
          <w:rFonts w:hint="eastAsia" w:ascii="Times New Roman" w:hAnsi="Times New Roman" w:eastAsia="仿宋_GB2312" w:cs="Times New Roman"/>
          <w:sz w:val="32"/>
          <w:highlight w:val="none"/>
          <w:shd w:val="clear" w:color="auto" w:fill="FFFFFF"/>
          <w:lang w:val="en-US" w:eastAsia="zh-CN"/>
        </w:rPr>
        <w:t>0</w:t>
      </w:r>
      <w:r>
        <w:rPr>
          <w:rFonts w:ascii="Times New Roman" w:hAnsi="Times New Roman" w:eastAsia="仿宋_GB2312" w:cs="Times New Roman"/>
          <w:sz w:val="32"/>
          <w:highlight w:val="none"/>
          <w:shd w:val="clear" w:color="auto" w:fill="FFFFFF"/>
        </w:rPr>
        <w:t>%/较</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年预算增长</w:t>
      </w:r>
      <w:r>
        <w:rPr>
          <w:rFonts w:hint="eastAsia" w:ascii="Times New Roman" w:hAnsi="Times New Roman" w:eastAsia="仿宋_GB2312" w:cs="Times New Roman"/>
          <w:sz w:val="32"/>
          <w:highlight w:val="none"/>
          <w:shd w:val="clear" w:color="auto" w:fill="FFFFFF"/>
          <w:lang w:val="en-US" w:eastAsia="zh-CN"/>
        </w:rPr>
        <w:t>0</w:t>
      </w:r>
      <w:r>
        <w:rPr>
          <w:rFonts w:ascii="Times New Roman" w:hAnsi="Times New Roman" w:eastAsia="仿宋_GB2312" w:cs="Times New Roman"/>
          <w:sz w:val="32"/>
          <w:highlight w:val="none"/>
          <w:shd w:val="clear" w:color="auto" w:fill="FFFFFF"/>
        </w:rPr>
        <w:t>%。</w:t>
      </w:r>
      <w:r>
        <w:rPr>
          <w:rFonts w:ascii="Times New Roman" w:hAnsi="Times New Roman" w:eastAsia="仿宋_GB2312" w:cs="Times New Roman"/>
          <w:sz w:val="32"/>
          <w:highlight w:val="none"/>
        </w:rPr>
        <w:t>下降/增长的</w:t>
      </w:r>
      <w:r>
        <w:rPr>
          <w:rFonts w:ascii="Times New Roman" w:hAnsi="Times New Roman" w:eastAsia="仿宋_GB2312" w:cs="Times New Roman"/>
          <w:sz w:val="32"/>
          <w:highlight w:val="none"/>
          <w:shd w:val="clear" w:color="auto" w:fill="FFFFFF"/>
        </w:rPr>
        <w:t>主要原因包括：</w:t>
      </w:r>
      <w:r>
        <w:rPr>
          <w:rFonts w:hint="eastAsia" w:ascii="Times New Roman" w:hAnsi="Times New Roman" w:eastAsia="仿宋_GB2312" w:cs="Times New Roman"/>
          <w:sz w:val="32"/>
          <w:highlight w:val="none"/>
          <w:shd w:val="clear" w:color="auto" w:fill="FFFFFF"/>
          <w:lang w:eastAsia="zh-CN"/>
        </w:rPr>
        <w:t>无</w:t>
      </w:r>
      <w:r>
        <w:rPr>
          <w:rFonts w:hint="eastAsia" w:ascii="Times New Roman" w:hAnsi="Times New Roman" w:eastAsia="仿宋_GB2312" w:cs="Times New Roman"/>
          <w:sz w:val="32"/>
          <w:highlight w:val="none"/>
          <w:shd w:val="clear" w:color="auto" w:fill="FFFFFF"/>
        </w:rPr>
        <w:t>，计划接待</w:t>
      </w:r>
      <w:r>
        <w:rPr>
          <w:rFonts w:hint="eastAsia" w:ascii="Times New Roman" w:hAnsi="Times New Roman" w:eastAsia="仿宋_GB2312" w:cs="Times New Roman"/>
          <w:sz w:val="32"/>
          <w:highlight w:val="none"/>
          <w:shd w:val="clear" w:color="auto" w:fill="FFFFFF"/>
          <w:lang w:val="en-US" w:eastAsia="zh-CN"/>
        </w:rPr>
        <w:t>0</w:t>
      </w:r>
      <w:r>
        <w:rPr>
          <w:rFonts w:hint="eastAsia" w:ascii="仿宋_GB2312" w:hAnsi="黑体" w:eastAsia="仿宋_GB2312" w:cs="仿宋_GB2312"/>
          <w:sz w:val="32"/>
          <w:szCs w:val="32"/>
          <w:highlight w:val="none"/>
        </w:rPr>
        <w:t>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人</w:t>
      </w:r>
      <w:r>
        <w:rPr>
          <w:rFonts w:hint="eastAsia" w:ascii="Times New Roman" w:hAnsi="Times New Roman" w:eastAsia="仿宋_GB2312" w:cs="Times New Roman"/>
          <w:sz w:val="32"/>
          <w:highlight w:val="none"/>
          <w:shd w:val="clear" w:color="auto" w:fill="FFFFFF"/>
        </w:rPr>
        <w:t>。</w:t>
      </w:r>
    </w:p>
    <w:p>
      <w:pPr>
        <w:ind w:firstLine="640" w:firstLineChars="200"/>
        <w:rPr>
          <w:rFonts w:ascii="仿宋_GB2312" w:hAnsi="黑体" w:eastAsia="仿宋_GB2312" w:cs="Times New Roman"/>
          <w:sz w:val="32"/>
          <w:szCs w:val="32"/>
          <w:highlight w:val="none"/>
        </w:rPr>
      </w:pPr>
      <w:r>
        <w:rPr>
          <w:rFonts w:hint="eastAsia" w:ascii="仿宋_GB2312" w:hAnsi="黑体" w:eastAsia="仿宋_GB2312"/>
          <w:sz w:val="32"/>
          <w:szCs w:val="32"/>
          <w:highlight w:val="none"/>
        </w:rPr>
        <w:t>（二）</w:t>
      </w:r>
      <w:r>
        <w:rPr>
          <w:rFonts w:hint="eastAsia" w:ascii="仿宋" w:hAnsi="仿宋" w:eastAsia="仿宋" w:cs="仿宋"/>
          <w:sz w:val="30"/>
          <w:szCs w:val="30"/>
          <w:highlight w:val="none"/>
          <w:lang w:eastAsia="zh-CN"/>
        </w:rPr>
        <w:t>海口市农村社会养老保险局</w:t>
      </w:r>
      <w:r>
        <w:rPr>
          <w:rFonts w:hint="eastAsia" w:ascii="仿宋_GB2312" w:hAnsi="黑体" w:eastAsia="仿宋_GB2312"/>
          <w:sz w:val="32"/>
          <w:szCs w:val="32"/>
          <w:highlight w:val="none"/>
          <w:lang w:val="en-US" w:eastAsia="zh-CN"/>
        </w:rPr>
        <w:t>2024</w:t>
      </w:r>
      <w:r>
        <w:rPr>
          <w:rFonts w:hint="eastAsia" w:ascii="仿宋_GB2312" w:hAnsi="黑体" w:eastAsia="仿宋_GB2312"/>
          <w:sz w:val="32"/>
          <w:szCs w:val="32"/>
          <w:highlight w:val="none"/>
        </w:rPr>
        <w:t>年政府性基金预算“三公”经费预算数为</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万元，其中：</w:t>
      </w:r>
    </w:p>
    <w:p>
      <w:pPr>
        <w:rPr>
          <w:rFonts w:hint="eastAsia" w:ascii="仿宋" w:hAnsi="仿宋" w:eastAsia="仿宋" w:cs="仿宋"/>
          <w:sz w:val="30"/>
          <w:szCs w:val="30"/>
          <w:highlight w:val="none"/>
          <w:shd w:val="clear" w:color="auto" w:fill="FFFFFF"/>
        </w:rPr>
      </w:pPr>
      <w:r>
        <w:rPr>
          <w:rFonts w:ascii="Times New Roman" w:hAnsi="Times New Roman" w:eastAsia="仿宋_GB2312" w:cs="Times New Roman"/>
          <w:sz w:val="32"/>
          <w:highlight w:val="none"/>
          <w:shd w:val="clear" w:color="auto" w:fill="FFFFFF"/>
        </w:rPr>
        <w:t xml:space="preserve">    因公出国（境）经费</w:t>
      </w:r>
      <w:r>
        <w:rPr>
          <w:rFonts w:hint="eastAsia" w:ascii="Times New Roman" w:hAnsi="Times New Roman" w:eastAsia="仿宋_GB2312" w:cs="Times New Roman"/>
          <w:sz w:val="32"/>
          <w:highlight w:val="none"/>
          <w:shd w:val="clear" w:color="auto" w:fill="FFFFFF"/>
          <w:lang w:val="en-US" w:eastAsia="zh-CN"/>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年预算持平/较</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年预算下降</w:t>
      </w:r>
      <w:r>
        <w:rPr>
          <w:rFonts w:hint="eastAsia" w:ascii="Times New Roman" w:hAnsi="Times New Roman" w:eastAsia="仿宋_GB2312" w:cs="Times New Roman"/>
          <w:sz w:val="32"/>
          <w:highlight w:val="none"/>
          <w:shd w:val="clear" w:color="auto" w:fill="FFFFFF"/>
          <w:lang w:val="en-US" w:eastAsia="zh-CN"/>
        </w:rPr>
        <w:t>0</w:t>
      </w:r>
      <w:r>
        <w:rPr>
          <w:rFonts w:ascii="Times New Roman" w:hAnsi="Times New Roman" w:eastAsia="仿宋_GB2312" w:cs="Times New Roman"/>
          <w:sz w:val="32"/>
          <w:highlight w:val="none"/>
          <w:shd w:val="clear" w:color="auto" w:fill="FFFFFF"/>
        </w:rPr>
        <w:t>%/较</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年预算增长</w:t>
      </w:r>
      <w:r>
        <w:rPr>
          <w:rFonts w:hint="eastAsia" w:ascii="Times New Roman" w:hAnsi="Times New Roman" w:eastAsia="仿宋_GB2312" w:cs="Times New Roman"/>
          <w:sz w:val="32"/>
          <w:highlight w:val="none"/>
          <w:shd w:val="clear" w:color="auto" w:fill="FFFFFF"/>
          <w:lang w:val="en-US" w:eastAsia="zh-CN"/>
        </w:rPr>
        <w:t>0</w:t>
      </w:r>
      <w:r>
        <w:rPr>
          <w:rFonts w:ascii="Times New Roman" w:hAnsi="Times New Roman" w:eastAsia="仿宋_GB2312" w:cs="Times New Roman"/>
          <w:sz w:val="32"/>
          <w:highlight w:val="none"/>
          <w:shd w:val="clear" w:color="auto" w:fill="FFFFFF"/>
        </w:rPr>
        <w:t>%。</w:t>
      </w:r>
      <w:r>
        <w:rPr>
          <w:rFonts w:ascii="Times New Roman" w:hAnsi="Times New Roman" w:eastAsia="仿宋_GB2312" w:cs="Times New Roman"/>
          <w:sz w:val="32"/>
          <w:highlight w:val="none"/>
        </w:rPr>
        <w:t>下降/增长的</w:t>
      </w:r>
      <w:r>
        <w:rPr>
          <w:rFonts w:ascii="Times New Roman" w:hAnsi="Times New Roman" w:eastAsia="仿宋_GB2312" w:cs="Times New Roman"/>
          <w:sz w:val="32"/>
          <w:highlight w:val="none"/>
          <w:shd w:val="clear" w:color="auto" w:fill="FFFFFF"/>
        </w:rPr>
        <w:t>主要原因包括：</w:t>
      </w:r>
      <w:r>
        <w:rPr>
          <w:rFonts w:hint="eastAsia" w:ascii="Times New Roman" w:hAnsi="Times New Roman" w:eastAsia="仿宋_GB2312" w:cs="Times New Roman"/>
          <w:sz w:val="32"/>
          <w:highlight w:val="none"/>
          <w:shd w:val="clear" w:color="auto" w:fill="FFFFFF"/>
          <w:lang w:eastAsia="zh-CN"/>
        </w:rPr>
        <w:t>无</w:t>
      </w:r>
      <w:r>
        <w:rPr>
          <w:rFonts w:hint="eastAsia" w:ascii="Times New Roman" w:hAnsi="Times New Roman" w:eastAsia="仿宋_GB2312" w:cs="Times New Roman"/>
          <w:sz w:val="32"/>
          <w:highlight w:val="none"/>
          <w:shd w:val="clear" w:color="auto" w:fill="FFFFFF"/>
        </w:rPr>
        <w:t>。</w:t>
      </w:r>
      <w:r>
        <w:rPr>
          <w:rFonts w:ascii="Times New Roman" w:hAnsi="Times New Roman" w:eastAsia="仿宋_GB2312" w:cs="Times New Roman"/>
          <w:sz w:val="32"/>
          <w:highlight w:val="none"/>
          <w:shd w:val="clear" w:color="auto" w:fill="FFFFFF"/>
        </w:rPr>
        <w:t>根据（如外事部门等）安排的</w:t>
      </w:r>
      <w:r>
        <w:rPr>
          <w:rFonts w:hint="eastAsia" w:ascii="Times New Roman" w:hAnsi="Times New Roman" w:eastAsia="仿宋_GB2312" w:cs="Times New Roman"/>
          <w:sz w:val="32"/>
          <w:highlight w:val="none"/>
          <w:shd w:val="clear" w:color="auto" w:fill="FFFFFF"/>
          <w:lang w:val="en-US" w:eastAsia="zh-CN"/>
        </w:rPr>
        <w:t>2024</w:t>
      </w:r>
      <w:r>
        <w:rPr>
          <w:rFonts w:ascii="Times New Roman" w:hAnsi="Times New Roman" w:eastAsia="仿宋_GB2312" w:cs="Times New Roman"/>
          <w:sz w:val="32"/>
          <w:highlight w:val="none"/>
          <w:shd w:val="clear" w:color="auto" w:fill="FFFFFF"/>
        </w:rPr>
        <w:t>年出国计划，拟安排出国（境）组</w:t>
      </w:r>
      <w:r>
        <w:rPr>
          <w:rFonts w:hint="eastAsia" w:ascii="Times New Roman" w:hAnsi="Times New Roman" w:eastAsia="仿宋_GB2312" w:cs="Times New Roman"/>
          <w:sz w:val="32"/>
          <w:highlight w:val="none"/>
          <w:shd w:val="clear" w:color="auto" w:fill="FFFFFF"/>
          <w:lang w:val="en-US" w:eastAsia="zh-CN"/>
        </w:rPr>
        <w:t>0</w:t>
      </w:r>
      <w:r>
        <w:rPr>
          <w:rFonts w:ascii="Times New Roman" w:hAnsi="Times New Roman" w:eastAsia="仿宋_GB2312" w:cs="Times New Roman"/>
          <w:sz w:val="32"/>
          <w:highlight w:val="none"/>
          <w:shd w:val="clear" w:color="auto" w:fill="FFFFFF"/>
        </w:rPr>
        <w:t>次，出国（境）</w:t>
      </w:r>
      <w:r>
        <w:rPr>
          <w:rFonts w:hint="eastAsia" w:ascii="Times New Roman" w:hAnsi="Times New Roman" w:eastAsia="仿宋_GB2312" w:cs="Times New Roman"/>
          <w:sz w:val="32"/>
          <w:highlight w:val="none"/>
          <w:shd w:val="clear" w:color="auto" w:fill="FFFFFF"/>
          <w:lang w:val="en-US" w:eastAsia="zh-CN"/>
        </w:rPr>
        <w:t>0</w:t>
      </w:r>
      <w:r>
        <w:rPr>
          <w:rFonts w:ascii="Times New Roman" w:hAnsi="Times New Roman" w:eastAsia="仿宋_GB2312" w:cs="Times New Roman"/>
          <w:sz w:val="32"/>
          <w:highlight w:val="none"/>
          <w:shd w:val="clear" w:color="auto" w:fill="FFFFFF"/>
        </w:rPr>
        <w:t>人。出国（境）团组主要包括：1.</w:t>
      </w:r>
      <w:r>
        <w:rPr>
          <w:rFonts w:hint="eastAsia" w:ascii="Times New Roman" w:hAnsi="Times New Roman" w:eastAsia="仿宋_GB2312" w:cs="Times New Roman"/>
          <w:sz w:val="32"/>
          <w:highlight w:val="none"/>
          <w:shd w:val="clear" w:color="auto" w:fill="FFFFFF"/>
          <w:lang w:eastAsia="zh-CN"/>
        </w:rPr>
        <w:t>无</w:t>
      </w:r>
      <w:r>
        <w:rPr>
          <w:rFonts w:ascii="Times New Roman" w:hAnsi="Times New Roman" w:eastAsia="仿宋_GB2312" w:cs="Times New Roman"/>
          <w:sz w:val="32"/>
          <w:highlight w:val="none"/>
          <w:shd w:val="clear" w:color="auto" w:fill="FFFFFF"/>
        </w:rPr>
        <w:t>团组：目的地为</w:t>
      </w:r>
      <w:r>
        <w:rPr>
          <w:rFonts w:hint="eastAsia" w:ascii="Times New Roman" w:hAnsi="Times New Roman" w:eastAsia="仿宋_GB2312" w:cs="Times New Roman"/>
          <w:sz w:val="32"/>
          <w:highlight w:val="none"/>
          <w:shd w:val="clear" w:color="auto" w:fill="FFFFFF"/>
          <w:lang w:eastAsia="zh-CN"/>
        </w:rPr>
        <w:t>无</w:t>
      </w:r>
      <w:r>
        <w:rPr>
          <w:rFonts w:ascii="Times New Roman" w:hAnsi="Times New Roman" w:eastAsia="仿宋_GB2312" w:cs="Times New Roman"/>
          <w:sz w:val="32"/>
          <w:highlight w:val="none"/>
          <w:shd w:val="clear" w:color="auto" w:fill="FFFFFF"/>
        </w:rPr>
        <w:t>，人数为</w:t>
      </w:r>
      <w:r>
        <w:rPr>
          <w:rFonts w:hint="eastAsia" w:ascii="Times New Roman" w:hAnsi="Times New Roman" w:eastAsia="仿宋_GB2312" w:cs="Times New Roman"/>
          <w:sz w:val="32"/>
          <w:highlight w:val="none"/>
          <w:shd w:val="clear" w:color="auto" w:fill="FFFFFF"/>
          <w:lang w:val="en-US" w:eastAsia="zh-CN"/>
        </w:rPr>
        <w:t>0</w:t>
      </w:r>
      <w:r>
        <w:rPr>
          <w:rFonts w:ascii="Times New Roman" w:hAnsi="Times New Roman" w:eastAsia="仿宋_GB2312" w:cs="Times New Roman"/>
          <w:sz w:val="32"/>
          <w:highlight w:val="none"/>
          <w:shd w:val="clear" w:color="auto" w:fill="FFFFFF"/>
        </w:rPr>
        <w:t>人，天数为</w:t>
      </w:r>
      <w:r>
        <w:rPr>
          <w:rFonts w:hint="eastAsia" w:ascii="Times New Roman" w:hAnsi="Times New Roman" w:eastAsia="仿宋_GB2312" w:cs="Times New Roman"/>
          <w:sz w:val="32"/>
          <w:highlight w:val="none"/>
          <w:shd w:val="clear" w:color="auto" w:fill="FFFFFF"/>
          <w:lang w:val="en-US" w:eastAsia="zh-CN"/>
        </w:rPr>
        <w:t>0</w:t>
      </w:r>
      <w:r>
        <w:rPr>
          <w:rFonts w:ascii="Times New Roman" w:hAnsi="Times New Roman" w:eastAsia="仿宋_GB2312" w:cs="Times New Roman"/>
          <w:sz w:val="32"/>
          <w:highlight w:val="none"/>
          <w:shd w:val="clear" w:color="auto" w:fill="FFFFFF"/>
        </w:rPr>
        <w:t>天，主要任务为</w:t>
      </w:r>
      <w:r>
        <w:rPr>
          <w:rFonts w:hint="eastAsia" w:ascii="Times New Roman" w:hAnsi="Times New Roman" w:eastAsia="仿宋_GB2312" w:cs="Times New Roman"/>
          <w:sz w:val="32"/>
          <w:highlight w:val="none"/>
          <w:shd w:val="clear" w:color="auto" w:fill="FFFFFF"/>
          <w:lang w:eastAsia="zh-CN"/>
        </w:rPr>
        <w:t>无</w:t>
      </w:r>
      <w:r>
        <w:rPr>
          <w:rFonts w:ascii="Times New Roman" w:hAnsi="Times New Roman" w:eastAsia="仿宋_GB2312" w:cs="Times New Roman"/>
          <w:sz w:val="32"/>
          <w:highlight w:val="none"/>
          <w:shd w:val="clear" w:color="auto" w:fill="FFFFFF"/>
        </w:rPr>
        <w:t>；公务用车购置及运行费</w:t>
      </w:r>
      <w:r>
        <w:rPr>
          <w:rFonts w:hint="eastAsia" w:ascii="Times New Roman" w:hAnsi="Times New Roman" w:eastAsia="仿宋_GB2312" w:cs="Times New Roman"/>
          <w:sz w:val="32"/>
          <w:highlight w:val="none"/>
          <w:shd w:val="clear" w:color="auto" w:fill="FFFFFF"/>
          <w:lang w:val="en-US" w:eastAsia="zh-CN"/>
        </w:rPr>
        <w:t>0</w:t>
      </w:r>
      <w:r>
        <w:rPr>
          <w:rFonts w:hint="eastAsia" w:ascii="仿宋_GB2312" w:hAnsi="黑体" w:eastAsia="仿宋_GB2312"/>
          <w:sz w:val="32"/>
          <w:szCs w:val="32"/>
          <w:highlight w:val="none"/>
        </w:rPr>
        <w:t>万元（其中，</w:t>
      </w:r>
      <w:r>
        <w:rPr>
          <w:rFonts w:ascii="Times New Roman" w:hAnsi="Times New Roman" w:eastAsia="仿宋_GB2312" w:cs="Times New Roman"/>
          <w:sz w:val="32"/>
          <w:highlight w:val="none"/>
          <w:shd w:val="clear" w:color="auto" w:fill="FFFFFF"/>
        </w:rPr>
        <w:t>公务用车购置</w:t>
      </w:r>
      <w:r>
        <w:rPr>
          <w:rFonts w:hint="eastAsia" w:ascii="Times New Roman" w:hAnsi="Times New Roman" w:eastAsia="仿宋_GB2312" w:cs="Times New Roman"/>
          <w:sz w:val="32"/>
          <w:highlight w:val="none"/>
          <w:shd w:val="clear" w:color="auto" w:fill="FFFFFF"/>
        </w:rPr>
        <w:t>费</w:t>
      </w:r>
      <w:r>
        <w:rPr>
          <w:rFonts w:hint="eastAsia" w:ascii="Times New Roman" w:hAnsi="Times New Roman" w:eastAsia="仿宋_GB2312" w:cs="Times New Roman"/>
          <w:sz w:val="32"/>
          <w:highlight w:val="none"/>
          <w:shd w:val="clear" w:color="auto" w:fill="FFFFFF"/>
          <w:lang w:val="en-US" w:eastAsia="zh-CN"/>
        </w:rPr>
        <w:t>0</w:t>
      </w:r>
      <w:r>
        <w:rPr>
          <w:rFonts w:hint="eastAsia" w:ascii="仿宋_GB2312" w:hAnsi="黑体" w:eastAsia="仿宋_GB2312"/>
          <w:sz w:val="32"/>
          <w:szCs w:val="32"/>
          <w:highlight w:val="none"/>
        </w:rPr>
        <w:t>万元</w:t>
      </w:r>
      <w:r>
        <w:rPr>
          <w:rFonts w:hint="eastAsia" w:ascii="Times New Roman" w:hAnsi="Times New Roman" w:eastAsia="仿宋_GB2312" w:cs="Times New Roman"/>
          <w:sz w:val="32"/>
          <w:highlight w:val="none"/>
          <w:shd w:val="clear" w:color="auto" w:fill="FFFFFF"/>
        </w:rPr>
        <w:t>，公务用车</w:t>
      </w:r>
      <w:r>
        <w:rPr>
          <w:rFonts w:ascii="Times New Roman" w:hAnsi="Times New Roman" w:eastAsia="仿宋_GB2312" w:cs="Times New Roman"/>
          <w:sz w:val="32"/>
          <w:highlight w:val="none"/>
          <w:shd w:val="clear" w:color="auto" w:fill="FFFFFF"/>
        </w:rPr>
        <w:t>运行费</w:t>
      </w:r>
      <w:r>
        <w:rPr>
          <w:rFonts w:hint="eastAsia" w:ascii="Times New Roman" w:hAnsi="Times New Roman" w:eastAsia="仿宋_GB2312" w:cs="Times New Roman"/>
          <w:sz w:val="32"/>
          <w:highlight w:val="none"/>
          <w:shd w:val="clear" w:color="auto" w:fill="FFFFFF"/>
          <w:lang w:val="en-US" w:eastAsia="zh-CN"/>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年预算持平/较</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年预算下降</w:t>
      </w:r>
      <w:r>
        <w:rPr>
          <w:rFonts w:hint="eastAsia" w:ascii="Times New Roman" w:hAnsi="Times New Roman" w:eastAsia="仿宋_GB2312" w:cs="Times New Roman"/>
          <w:sz w:val="32"/>
          <w:highlight w:val="none"/>
          <w:shd w:val="clear" w:color="auto" w:fill="FFFFFF"/>
          <w:lang w:val="en-US" w:eastAsia="zh-CN"/>
        </w:rPr>
        <w:t>0</w:t>
      </w:r>
      <w:r>
        <w:rPr>
          <w:rFonts w:ascii="Times New Roman" w:hAnsi="Times New Roman" w:eastAsia="仿宋_GB2312" w:cs="Times New Roman"/>
          <w:sz w:val="32"/>
          <w:highlight w:val="none"/>
          <w:shd w:val="clear" w:color="auto" w:fill="FFFFFF"/>
        </w:rPr>
        <w:t>%/较</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年预算增长</w:t>
      </w:r>
      <w:r>
        <w:rPr>
          <w:rFonts w:hint="eastAsia" w:ascii="Times New Roman" w:hAnsi="Times New Roman" w:eastAsia="仿宋_GB2312" w:cs="Times New Roman"/>
          <w:sz w:val="32"/>
          <w:highlight w:val="none"/>
          <w:shd w:val="clear" w:color="auto" w:fill="FFFFFF"/>
          <w:lang w:val="en-US" w:eastAsia="zh-CN"/>
        </w:rPr>
        <w:t>0</w:t>
      </w:r>
      <w:r>
        <w:rPr>
          <w:rFonts w:ascii="Times New Roman" w:hAnsi="Times New Roman" w:eastAsia="仿宋_GB2312" w:cs="Times New Roman"/>
          <w:sz w:val="32"/>
          <w:highlight w:val="none"/>
          <w:shd w:val="clear" w:color="auto" w:fill="FFFFFF"/>
        </w:rPr>
        <w:t>%。</w:t>
      </w:r>
      <w:r>
        <w:rPr>
          <w:rFonts w:ascii="Times New Roman" w:hAnsi="Times New Roman" w:eastAsia="仿宋_GB2312" w:cs="Times New Roman"/>
          <w:sz w:val="32"/>
          <w:highlight w:val="none"/>
        </w:rPr>
        <w:t>下降/增长的</w:t>
      </w:r>
      <w:r>
        <w:rPr>
          <w:rFonts w:ascii="Times New Roman" w:hAnsi="Times New Roman" w:eastAsia="仿宋_GB2312" w:cs="Times New Roman"/>
          <w:sz w:val="32"/>
          <w:highlight w:val="none"/>
          <w:shd w:val="clear" w:color="auto" w:fill="FFFFFF"/>
        </w:rPr>
        <w:t>主要原因包括：</w:t>
      </w:r>
      <w:r>
        <w:rPr>
          <w:rFonts w:hint="eastAsia" w:ascii="Times New Roman" w:hAnsi="Times New Roman" w:eastAsia="仿宋_GB2312" w:cs="Times New Roman"/>
          <w:sz w:val="32"/>
          <w:highlight w:val="none"/>
          <w:shd w:val="clear" w:color="auto" w:fill="FFFFFF"/>
          <w:lang w:eastAsia="zh-CN"/>
        </w:rPr>
        <w:t>无</w:t>
      </w:r>
      <w:r>
        <w:rPr>
          <w:rFonts w:hint="eastAsia" w:ascii="Times New Roman" w:hAnsi="Times New Roman" w:eastAsia="仿宋_GB2312" w:cs="Times New Roman"/>
          <w:sz w:val="32"/>
          <w:highlight w:val="none"/>
          <w:shd w:val="clear" w:color="auto" w:fill="FFFFFF"/>
        </w:rPr>
        <w:t>；公务车保有量</w:t>
      </w:r>
      <w:r>
        <w:rPr>
          <w:rFonts w:hint="eastAsia" w:ascii="Times New Roman" w:hAnsi="Times New Roman" w:eastAsia="仿宋_GB2312" w:cs="Times New Roman"/>
          <w:sz w:val="32"/>
          <w:highlight w:val="none"/>
          <w:shd w:val="clear" w:color="auto" w:fill="FFFFFF"/>
          <w:lang w:val="en-US" w:eastAsia="zh-CN"/>
        </w:rPr>
        <w:t>0</w:t>
      </w:r>
      <w:r>
        <w:rPr>
          <w:rFonts w:hint="eastAsia" w:ascii="仿宋_GB2312" w:hAnsi="黑体" w:eastAsia="仿宋_GB2312" w:cs="仿宋_GB2312"/>
          <w:sz w:val="32"/>
          <w:szCs w:val="32"/>
          <w:highlight w:val="none"/>
        </w:rPr>
        <w:t>辆，计划购置</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w:t>
      </w:r>
      <w:r>
        <w:rPr>
          <w:rFonts w:hint="eastAsia" w:ascii="Times New Roman" w:hAnsi="Times New Roman" w:eastAsia="仿宋_GB2312" w:cs="Times New Roman"/>
          <w:sz w:val="32"/>
          <w:highlight w:val="none"/>
          <w:shd w:val="clear" w:color="auto" w:fill="FFFFFF"/>
        </w:rPr>
        <w:t>。</w:t>
      </w:r>
      <w:r>
        <w:rPr>
          <w:rFonts w:ascii="仿宋_GB2312" w:hAnsi="黑体" w:eastAsia="仿宋_GB2312" w:cs="Times New Roman"/>
          <w:sz w:val="32"/>
          <w:szCs w:val="32"/>
          <w:highlight w:val="none"/>
        </w:rPr>
        <w:t>公务接待费</w:t>
      </w:r>
      <w:r>
        <w:rPr>
          <w:rFonts w:hint="eastAsia" w:ascii="仿宋_GB2312" w:hAnsi="黑体" w:eastAsia="仿宋_GB2312" w:cs="Times New Roman"/>
          <w:sz w:val="32"/>
          <w:szCs w:val="32"/>
          <w:highlight w:val="none"/>
          <w:lang w:val="en-US" w:eastAsia="zh-CN"/>
        </w:rPr>
        <w:t>0</w:t>
      </w:r>
      <w:r>
        <w:rPr>
          <w:rFonts w:ascii="Times New Roman" w:hAnsi="Times New Roman" w:eastAsia="仿宋_GB2312" w:cs="Times New Roman"/>
          <w:sz w:val="32"/>
          <w:highlight w:val="none"/>
          <w:shd w:val="clear" w:color="auto" w:fill="FFFFFF"/>
        </w:rPr>
        <w:t>万元，与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年预算持平/较</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年预算下降</w:t>
      </w:r>
      <w:r>
        <w:rPr>
          <w:rFonts w:hint="eastAsia" w:ascii="Times New Roman" w:hAnsi="Times New Roman" w:eastAsia="仿宋_GB2312" w:cs="Times New Roman"/>
          <w:sz w:val="32"/>
          <w:highlight w:val="none"/>
          <w:shd w:val="clear" w:color="auto" w:fill="FFFFFF"/>
          <w:lang w:val="en-US" w:eastAsia="zh-CN"/>
        </w:rPr>
        <w:t>0</w:t>
      </w:r>
      <w:r>
        <w:rPr>
          <w:rFonts w:ascii="Times New Roman" w:hAnsi="Times New Roman" w:eastAsia="仿宋_GB2312" w:cs="Times New Roman"/>
          <w:sz w:val="32"/>
          <w:highlight w:val="none"/>
          <w:shd w:val="clear" w:color="auto" w:fill="FFFFFF"/>
        </w:rPr>
        <w:t>%/较</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年预算增长</w:t>
      </w:r>
      <w:r>
        <w:rPr>
          <w:rFonts w:hint="eastAsia" w:ascii="Times New Roman" w:hAnsi="Times New Roman" w:eastAsia="仿宋_GB2312" w:cs="Times New Roman"/>
          <w:sz w:val="32"/>
          <w:highlight w:val="none"/>
          <w:shd w:val="clear" w:color="auto" w:fill="FFFFFF"/>
          <w:lang w:val="en-US" w:eastAsia="zh-CN"/>
        </w:rPr>
        <w:t>0</w:t>
      </w:r>
      <w:r>
        <w:rPr>
          <w:rFonts w:ascii="Times New Roman" w:hAnsi="Times New Roman" w:eastAsia="仿宋_GB2312" w:cs="Times New Roman"/>
          <w:sz w:val="32"/>
          <w:highlight w:val="none"/>
          <w:shd w:val="clear" w:color="auto" w:fill="FFFFFF"/>
        </w:rPr>
        <w:t>%</w:t>
      </w:r>
      <w:r>
        <w:rPr>
          <w:rFonts w:hint="eastAsia" w:ascii="Times New Roman" w:hAnsi="Times New Roman" w:eastAsia="仿宋_GB2312" w:cs="Times New Roman"/>
          <w:sz w:val="32"/>
          <w:highlight w:val="none"/>
          <w:shd w:val="clear" w:color="auto" w:fill="FFFFFF"/>
        </w:rPr>
        <w:t>，</w:t>
      </w:r>
      <w:r>
        <w:rPr>
          <w:rFonts w:ascii="Times New Roman" w:hAnsi="Times New Roman" w:eastAsia="仿宋_GB2312" w:cs="Times New Roman"/>
          <w:sz w:val="32"/>
          <w:highlight w:val="none"/>
        </w:rPr>
        <w:t>下降/增长的</w:t>
      </w:r>
      <w:r>
        <w:rPr>
          <w:rFonts w:ascii="Times New Roman" w:hAnsi="Times New Roman" w:eastAsia="仿宋_GB2312" w:cs="Times New Roman"/>
          <w:sz w:val="32"/>
          <w:highlight w:val="none"/>
          <w:shd w:val="clear" w:color="auto" w:fill="FFFFFF"/>
        </w:rPr>
        <w:t>主要原因包括：</w:t>
      </w:r>
      <w:r>
        <w:rPr>
          <w:rFonts w:hint="eastAsia" w:ascii="Times New Roman" w:hAnsi="Times New Roman" w:eastAsia="仿宋_GB2312" w:cs="Times New Roman"/>
          <w:sz w:val="32"/>
          <w:highlight w:val="none"/>
          <w:shd w:val="clear" w:color="auto" w:fill="FFFFFF"/>
          <w:lang w:eastAsia="zh-CN"/>
        </w:rPr>
        <w:t>无</w:t>
      </w:r>
      <w:r>
        <w:rPr>
          <w:rFonts w:hint="eastAsia" w:ascii="Times New Roman" w:hAnsi="Times New Roman" w:eastAsia="仿宋_GB2312" w:cs="Times New Roman"/>
          <w:sz w:val="32"/>
          <w:highlight w:val="none"/>
          <w:shd w:val="clear" w:color="auto" w:fill="FFFFFF"/>
        </w:rPr>
        <w:t>。计划接待</w:t>
      </w:r>
      <w:r>
        <w:rPr>
          <w:rFonts w:hint="eastAsia" w:ascii="Times New Roman" w:hAnsi="Times New Roman" w:eastAsia="仿宋_GB2312" w:cs="Times New Roman"/>
          <w:sz w:val="32"/>
          <w:highlight w:val="none"/>
          <w:shd w:val="clear" w:color="auto" w:fill="FFFFFF"/>
          <w:lang w:val="en-US" w:eastAsia="zh-CN"/>
        </w:rPr>
        <w:t>0</w:t>
      </w:r>
      <w:r>
        <w:rPr>
          <w:rFonts w:hint="eastAsia" w:ascii="仿宋_GB2312" w:hAnsi="黑体" w:eastAsia="仿宋_GB2312" w:cs="仿宋_GB2312"/>
          <w:sz w:val="32"/>
          <w:szCs w:val="32"/>
          <w:highlight w:val="none"/>
        </w:rPr>
        <w:t>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人</w:t>
      </w:r>
      <w:r>
        <w:rPr>
          <w:rFonts w:hint="eastAsia" w:ascii="Times New Roman" w:hAnsi="Times New Roman" w:eastAsia="仿宋_GB2312" w:cs="Times New Roman"/>
          <w:sz w:val="32"/>
          <w:highlight w:val="none"/>
          <w:shd w:val="clear" w:color="auto" w:fill="FFFFFF"/>
        </w:rPr>
        <w:t>。</w:t>
      </w:r>
      <w:r>
        <w:rPr>
          <w:rFonts w:hint="eastAsia" w:ascii="仿宋" w:hAnsi="仿宋" w:eastAsia="仿宋" w:cs="仿宋"/>
          <w:sz w:val="30"/>
          <w:szCs w:val="30"/>
          <w:highlight w:val="none"/>
          <w:shd w:val="clear" w:color="auto" w:fill="FFFFFF"/>
        </w:rPr>
        <w:t xml:space="preserve"> </w:t>
      </w:r>
    </w:p>
    <w:p>
      <w:pPr>
        <w:spacing w:line="570" w:lineRule="exact"/>
        <w:ind w:firstLine="600" w:firstLineChars="200"/>
        <w:rPr>
          <w:rFonts w:hint="eastAsia" w:ascii="黑体" w:hAnsi="黑体" w:eastAsia="黑体" w:cs="黑体"/>
          <w:sz w:val="30"/>
          <w:szCs w:val="30"/>
          <w:highlight w:val="none"/>
          <w:shd w:val="clear" w:color="auto" w:fill="FFFFFF"/>
        </w:rPr>
      </w:pPr>
      <w:r>
        <w:rPr>
          <w:rFonts w:hint="eastAsia" w:ascii="黑体" w:hAnsi="黑体" w:eastAsia="黑体" w:cs="黑体"/>
          <w:sz w:val="30"/>
          <w:szCs w:val="30"/>
          <w:highlight w:val="none"/>
          <w:shd w:val="clear" w:color="auto" w:fill="FFFFFF"/>
        </w:rPr>
        <w:t>五、关于海口市农村社会养老保险局</w:t>
      </w:r>
      <w:r>
        <w:rPr>
          <w:rFonts w:hint="eastAsia" w:ascii="黑体" w:hAnsi="黑体" w:eastAsia="黑体" w:cs="黑体"/>
          <w:sz w:val="30"/>
          <w:szCs w:val="30"/>
          <w:highlight w:val="none"/>
          <w:shd w:val="clear" w:color="auto" w:fill="FFFFFF"/>
          <w:lang w:eastAsia="zh-CN"/>
        </w:rPr>
        <w:t>2024</w:t>
      </w:r>
      <w:r>
        <w:rPr>
          <w:rFonts w:hint="eastAsia" w:ascii="黑体" w:hAnsi="黑体" w:eastAsia="黑体" w:cs="黑体"/>
          <w:sz w:val="30"/>
          <w:szCs w:val="30"/>
          <w:highlight w:val="none"/>
          <w:shd w:val="clear" w:color="auto" w:fill="FFFFFF"/>
        </w:rPr>
        <w:t>年政府性基金预算当年拨款情况说明</w:t>
      </w:r>
    </w:p>
    <w:p>
      <w:pPr>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（一）政府性基金预算当年规模变化情况</w:t>
      </w:r>
    </w:p>
    <w:p>
      <w:pPr>
        <w:ind w:firstLine="640" w:firstLineChars="200"/>
        <w:rPr>
          <w:rFonts w:ascii="Times New Roman" w:hAnsi="Times New Roman" w:eastAsia="仿宋_GB2312" w:cs="Times New Roman"/>
          <w:sz w:val="32"/>
          <w:highlight w:val="none"/>
          <w:shd w:val="clear" w:color="auto" w:fill="FFFFFF"/>
        </w:rPr>
      </w:pPr>
      <w:r>
        <w:rPr>
          <w:rFonts w:hint="eastAsia" w:ascii="Times New Roman" w:hAnsi="Times New Roman" w:eastAsia="仿宋_GB2312" w:cs="Times New Roman"/>
          <w:sz w:val="32"/>
          <w:highlight w:val="none"/>
          <w:shd w:val="clear" w:color="auto" w:fill="FFFFFF"/>
          <w:lang w:eastAsia="zh-CN"/>
        </w:rPr>
        <w:t>本单位</w:t>
      </w:r>
      <w:r>
        <w:rPr>
          <w:rFonts w:hint="eastAsia" w:ascii="Times New Roman" w:hAnsi="Times New Roman" w:eastAsia="仿宋_GB2312" w:cs="Times New Roman"/>
          <w:sz w:val="32"/>
          <w:highlight w:val="none"/>
          <w:shd w:val="clear" w:color="auto" w:fill="FFFFFF"/>
          <w:lang w:val="en-US" w:eastAsia="zh-CN"/>
        </w:rPr>
        <w:t>2024</w:t>
      </w:r>
      <w:r>
        <w:rPr>
          <w:rFonts w:hint="eastAsia" w:ascii="Times New Roman" w:hAnsi="Times New Roman" w:eastAsia="仿宋_GB2312" w:cs="Times New Roman"/>
          <w:sz w:val="32"/>
          <w:highlight w:val="none"/>
          <w:shd w:val="clear" w:color="auto" w:fill="FFFFFF"/>
        </w:rPr>
        <w:t>年政府性基金预算当年拨款</w:t>
      </w:r>
      <w:r>
        <w:rPr>
          <w:rFonts w:hint="eastAsia" w:ascii="Times New Roman" w:hAnsi="Times New Roman" w:eastAsia="仿宋_GB2312" w:cs="Times New Roman"/>
          <w:sz w:val="32"/>
          <w:highlight w:val="none"/>
          <w:shd w:val="clear" w:color="auto" w:fill="FFFFFF"/>
          <w:lang w:val="en-US" w:eastAsia="zh-CN"/>
        </w:rPr>
        <w:t>0</w:t>
      </w:r>
      <w:r>
        <w:rPr>
          <w:rFonts w:hint="eastAsia" w:ascii="Times New Roman" w:hAnsi="Times New Roman" w:eastAsia="仿宋_GB2312" w:cs="Times New Roman"/>
          <w:sz w:val="32"/>
          <w:highlight w:val="none"/>
          <w:shd w:val="clear" w:color="auto" w:fill="FFFFFF"/>
        </w:rPr>
        <w:t>万元，比上年预算数增加/减少/持平</w:t>
      </w:r>
      <w:r>
        <w:rPr>
          <w:rFonts w:hint="eastAsia" w:ascii="Times New Roman" w:hAnsi="Times New Roman" w:eastAsia="仿宋_GB2312" w:cs="Times New Roman"/>
          <w:sz w:val="32"/>
          <w:highlight w:val="none"/>
          <w:shd w:val="clear" w:color="auto" w:fill="FFFFFF"/>
          <w:lang w:val="en-US" w:eastAsia="zh-CN"/>
        </w:rPr>
        <w:t>0</w:t>
      </w:r>
      <w:r>
        <w:rPr>
          <w:rFonts w:hint="eastAsia" w:ascii="Times New Roman" w:hAnsi="Times New Roman" w:eastAsia="仿宋_GB2312" w:cs="Times New Roman"/>
          <w:sz w:val="32"/>
          <w:highlight w:val="none"/>
          <w:shd w:val="clear" w:color="auto" w:fill="FFFFFF"/>
        </w:rPr>
        <w:t>万元，</w:t>
      </w:r>
      <w:r>
        <w:rPr>
          <w:rFonts w:hint="eastAsia" w:ascii="Times New Roman" w:hAnsi="Times New Roman" w:eastAsia="仿宋_GB2312" w:cs="Times New Roman"/>
          <w:sz w:val="32"/>
          <w:highlight w:val="none"/>
          <w:shd w:val="clear" w:color="auto" w:fill="FFFFFF"/>
          <w:lang w:eastAsia="zh-CN"/>
        </w:rPr>
        <w:t>主要原因是</w:t>
      </w:r>
      <w:r>
        <w:rPr>
          <w:rFonts w:hint="eastAsia" w:ascii="Times New Roman" w:hAnsi="Times New Roman" w:eastAsia="仿宋_GB2312" w:cs="Times New Roman"/>
          <w:sz w:val="32"/>
          <w:highlight w:val="none"/>
          <w:shd w:val="clear" w:color="auto" w:fill="FFFFFF"/>
        </w:rPr>
        <w:t>本单位无政府性基金预算收支以及政府性基金预算“三公”经费支出。</w:t>
      </w:r>
    </w:p>
    <w:p>
      <w:pPr>
        <w:ind w:firstLine="600" w:firstLineChars="200"/>
        <w:rPr>
          <w:rFonts w:hint="eastAsia" w:ascii="仿宋" w:hAnsi="仿宋" w:eastAsia="仿宋" w:cs="仿宋"/>
          <w:sz w:val="30"/>
          <w:szCs w:val="30"/>
          <w:highlight w:val="none"/>
          <w:shd w:val="clear" w:color="auto" w:fill="FFFFFF"/>
        </w:rPr>
      </w:pPr>
      <w:r>
        <w:rPr>
          <w:rFonts w:hint="eastAsia" w:ascii="黑体" w:hAnsi="黑体" w:eastAsia="黑体" w:cs="黑体"/>
          <w:sz w:val="30"/>
          <w:szCs w:val="30"/>
          <w:highlight w:val="none"/>
          <w:shd w:val="clear" w:color="auto" w:fill="FFFFFF"/>
          <w:lang w:eastAsia="zh-CN"/>
        </w:rPr>
        <w:t>六、</w:t>
      </w:r>
      <w:r>
        <w:rPr>
          <w:rFonts w:hint="eastAsia" w:ascii="黑体" w:hAnsi="黑体" w:eastAsia="黑体" w:cs="黑体"/>
          <w:sz w:val="30"/>
          <w:szCs w:val="30"/>
          <w:highlight w:val="none"/>
          <w:shd w:val="clear" w:color="auto" w:fill="FFFFFF"/>
        </w:rPr>
        <w:t>关于</w:t>
      </w:r>
      <w:r>
        <w:rPr>
          <w:rFonts w:hint="eastAsia" w:ascii="黑体" w:hAnsi="黑体" w:eastAsia="黑体" w:cs="黑体"/>
          <w:sz w:val="30"/>
          <w:szCs w:val="30"/>
          <w:highlight w:val="none"/>
          <w:lang w:eastAsia="zh-CN"/>
        </w:rPr>
        <w:t>海口市农村社会养老保险局2024</w:t>
      </w:r>
      <w:r>
        <w:rPr>
          <w:rFonts w:hint="eastAsia" w:ascii="黑体" w:hAnsi="黑体" w:eastAsia="黑体" w:cs="黑体"/>
          <w:sz w:val="30"/>
          <w:szCs w:val="30"/>
          <w:highlight w:val="none"/>
        </w:rPr>
        <w:t>年</w:t>
      </w:r>
      <w:r>
        <w:rPr>
          <w:rFonts w:hint="eastAsia" w:ascii="黑体" w:hAnsi="黑体" w:eastAsia="黑体" w:cs="黑体"/>
          <w:sz w:val="30"/>
          <w:szCs w:val="30"/>
          <w:highlight w:val="none"/>
          <w:shd w:val="clear" w:color="auto" w:fill="FFFFFF"/>
        </w:rPr>
        <w:t>收支预算情况的总体说明</w:t>
      </w:r>
    </w:p>
    <w:p>
      <w:pPr>
        <w:ind w:firstLine="600" w:firstLineChars="200"/>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eastAsia="zh-CN"/>
        </w:rPr>
        <w:t>按照综合预算原则，海口市农村社会养老保险局所有收入和支出均纳入部门预算管理。收入包括：一般公共预算收入；支出包括：社会保障和就业支出、卫生健康支出、住房保障支出。海口市农村社会养老保险局2024年收支总预算26128.46万元。</w:t>
      </w:r>
    </w:p>
    <w:p>
      <w:pPr>
        <w:ind w:firstLine="600" w:firstLineChars="200"/>
        <w:rPr>
          <w:rFonts w:hint="eastAsia" w:ascii="黑体" w:hAnsi="黑体" w:eastAsia="黑体" w:cs="黑体"/>
          <w:sz w:val="30"/>
          <w:szCs w:val="30"/>
          <w:highlight w:val="none"/>
          <w:shd w:val="clear" w:color="auto" w:fill="FFFFFF"/>
        </w:rPr>
      </w:pPr>
      <w:r>
        <w:rPr>
          <w:rFonts w:hint="eastAsia" w:ascii="黑体" w:hAnsi="黑体" w:eastAsia="黑体" w:cs="黑体"/>
          <w:sz w:val="30"/>
          <w:szCs w:val="30"/>
          <w:highlight w:val="none"/>
          <w:shd w:val="clear" w:color="auto" w:fill="FFFFFF"/>
          <w:lang w:eastAsia="zh-CN"/>
        </w:rPr>
        <w:t>七</w:t>
      </w:r>
      <w:r>
        <w:rPr>
          <w:rFonts w:hint="eastAsia" w:ascii="黑体" w:hAnsi="黑体" w:eastAsia="黑体" w:cs="黑体"/>
          <w:sz w:val="30"/>
          <w:szCs w:val="30"/>
          <w:highlight w:val="none"/>
          <w:shd w:val="clear" w:color="auto" w:fill="FFFFFF"/>
        </w:rPr>
        <w:t>、关于</w:t>
      </w:r>
      <w:r>
        <w:rPr>
          <w:rFonts w:hint="eastAsia" w:ascii="黑体" w:hAnsi="黑体" w:eastAsia="黑体" w:cs="黑体"/>
          <w:sz w:val="30"/>
          <w:szCs w:val="30"/>
          <w:highlight w:val="none"/>
          <w:lang w:eastAsia="zh-CN"/>
        </w:rPr>
        <w:t>海口市农村社会养老保险局2024</w:t>
      </w:r>
      <w:r>
        <w:rPr>
          <w:rFonts w:hint="eastAsia" w:ascii="黑体" w:hAnsi="黑体" w:eastAsia="黑体" w:cs="黑体"/>
          <w:sz w:val="30"/>
          <w:szCs w:val="30"/>
          <w:highlight w:val="none"/>
          <w:shd w:val="clear" w:color="auto" w:fill="FFFFFF"/>
        </w:rPr>
        <w:t>年收入预算情况说明</w:t>
      </w:r>
    </w:p>
    <w:p>
      <w:pPr>
        <w:ind w:firstLine="600" w:firstLineChars="200"/>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eastAsia="zh-CN"/>
        </w:rPr>
        <w:t>海口市农村社会养老保险局2024年收入预算27987.59万元，其中：上年结转0.00万元，占0.00%；一般公共预算收入27987.59万元，占100%，；政府性基金收入0万元，占0.00%。比上年预算数增加</w:t>
      </w:r>
      <w:r>
        <w:rPr>
          <w:rFonts w:hint="eastAsia" w:ascii="仿宋" w:hAnsi="仿宋" w:eastAsia="仿宋" w:cs="仿宋"/>
          <w:sz w:val="30"/>
          <w:szCs w:val="30"/>
          <w:highlight w:val="none"/>
          <w:lang w:val="en-US" w:eastAsia="zh-CN"/>
        </w:rPr>
        <w:t>1859.13</w:t>
      </w:r>
      <w:r>
        <w:rPr>
          <w:rFonts w:hint="eastAsia" w:ascii="仿宋" w:hAnsi="仿宋" w:eastAsia="仿宋" w:cs="仿宋"/>
          <w:sz w:val="30"/>
          <w:szCs w:val="30"/>
          <w:highlight w:val="none"/>
          <w:lang w:eastAsia="zh-CN"/>
        </w:rPr>
        <w:t>万元，</w:t>
      </w:r>
      <w:r>
        <w:rPr>
          <w:rFonts w:hint="eastAsia" w:ascii="仿宋" w:hAnsi="仿宋" w:eastAsia="仿宋" w:cs="仿宋"/>
          <w:sz w:val="30"/>
          <w:szCs w:val="30"/>
          <w:highlight w:val="none"/>
          <w:lang w:eastAsia="zh-CN"/>
        </w:rPr>
        <w:t>主要原因是项目支出（类）财政对基本养老保险基金的补助（款）财政对城乡居民基本养老保险基金的补助（项）27189.00</w:t>
      </w:r>
      <w:r>
        <w:rPr>
          <w:rFonts w:hint="eastAsia" w:ascii="仿宋" w:hAnsi="仿宋" w:eastAsia="仿宋" w:cs="仿宋"/>
          <w:sz w:val="30"/>
          <w:szCs w:val="30"/>
          <w:highlight w:val="none"/>
          <w:lang w:val="en-US" w:eastAsia="zh-CN"/>
        </w:rPr>
        <w:t>万元,</w:t>
      </w:r>
      <w:r>
        <w:rPr>
          <w:rFonts w:hint="eastAsia" w:ascii="仿宋" w:hAnsi="仿宋" w:eastAsia="仿宋" w:cs="仿宋"/>
          <w:sz w:val="30"/>
          <w:szCs w:val="30"/>
          <w:highlight w:val="none"/>
          <w:lang w:eastAsia="zh-CN"/>
        </w:rPr>
        <w:t>比上年预算数增加1426</w:t>
      </w:r>
      <w:r>
        <w:rPr>
          <w:rFonts w:hint="eastAsia" w:ascii="仿宋" w:hAnsi="仿宋" w:eastAsia="仿宋" w:cs="仿宋"/>
          <w:sz w:val="30"/>
          <w:szCs w:val="30"/>
          <w:highlight w:val="none"/>
          <w:lang w:val="en-US" w:eastAsia="zh-CN"/>
        </w:rPr>
        <w:t>万元;社会保障和就业支出（类）财政代缴社会保险费支出（款）财政代缴城乡居民基本养老保险费支出（项）2024年预算数为398.00万元,为今年新增项目支出</w:t>
      </w:r>
      <w:r>
        <w:rPr>
          <w:rFonts w:hint="eastAsia" w:ascii="仿宋" w:hAnsi="仿宋" w:eastAsia="仿宋" w:cs="仿宋"/>
          <w:sz w:val="30"/>
          <w:szCs w:val="30"/>
          <w:highlight w:val="none"/>
          <w:lang w:eastAsia="zh-CN"/>
        </w:rPr>
        <w:t>。</w:t>
      </w:r>
    </w:p>
    <w:p>
      <w:pPr>
        <w:ind w:firstLine="600" w:firstLineChars="200"/>
        <w:rPr>
          <w:rFonts w:hint="eastAsia" w:ascii="仿宋" w:hAnsi="仿宋" w:eastAsia="仿宋" w:cs="仿宋"/>
          <w:sz w:val="30"/>
          <w:szCs w:val="30"/>
          <w:highlight w:val="none"/>
          <w:shd w:val="clear" w:color="auto" w:fill="FFFFFF"/>
        </w:rPr>
      </w:pPr>
      <w:r>
        <w:rPr>
          <w:rFonts w:hint="eastAsia" w:ascii="黑体" w:hAnsi="黑体" w:eastAsia="黑体" w:cs="黑体"/>
          <w:sz w:val="30"/>
          <w:szCs w:val="30"/>
          <w:highlight w:val="none"/>
          <w:shd w:val="clear" w:color="auto" w:fill="FFFFFF"/>
          <w:lang w:eastAsia="zh-CN"/>
        </w:rPr>
        <w:t>八</w:t>
      </w:r>
      <w:r>
        <w:rPr>
          <w:rFonts w:hint="eastAsia" w:ascii="黑体" w:hAnsi="黑体" w:eastAsia="黑体" w:cs="黑体"/>
          <w:sz w:val="30"/>
          <w:szCs w:val="30"/>
          <w:highlight w:val="none"/>
          <w:shd w:val="clear" w:color="auto" w:fill="FFFFFF"/>
        </w:rPr>
        <w:t>、关于</w:t>
      </w:r>
      <w:r>
        <w:rPr>
          <w:rFonts w:hint="eastAsia" w:ascii="黑体" w:hAnsi="黑体" w:eastAsia="黑体" w:cs="黑体"/>
          <w:sz w:val="30"/>
          <w:szCs w:val="30"/>
          <w:highlight w:val="none"/>
          <w:lang w:eastAsia="zh-CN"/>
        </w:rPr>
        <w:t>海口市农村社会养老保险局2024</w:t>
      </w:r>
      <w:r>
        <w:rPr>
          <w:rFonts w:hint="eastAsia" w:ascii="黑体" w:hAnsi="黑体" w:eastAsia="黑体" w:cs="黑体"/>
          <w:sz w:val="30"/>
          <w:szCs w:val="30"/>
          <w:highlight w:val="none"/>
          <w:shd w:val="clear" w:color="auto" w:fill="FFFFFF"/>
        </w:rPr>
        <w:t>年支出预算情况说明</w:t>
      </w:r>
    </w:p>
    <w:p>
      <w:pPr>
        <w:ind w:firstLine="600" w:firstLineChars="200"/>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eastAsia="zh-CN"/>
        </w:rPr>
        <w:t>海口市农村社会养老保险局2024年支出预算27987.59万元，其中：基本支出250.59万元，占0</w:t>
      </w:r>
      <w:r>
        <w:rPr>
          <w:rFonts w:hint="eastAsia" w:ascii="仿宋" w:hAnsi="仿宋" w:eastAsia="仿宋" w:cs="仿宋"/>
          <w:sz w:val="30"/>
          <w:szCs w:val="30"/>
          <w:highlight w:val="none"/>
          <w:lang w:val="en-US" w:eastAsia="zh-CN"/>
        </w:rPr>
        <w:t>.90</w:t>
      </w:r>
      <w:r>
        <w:rPr>
          <w:rFonts w:hint="eastAsia" w:ascii="仿宋" w:hAnsi="仿宋" w:eastAsia="仿宋" w:cs="仿宋"/>
          <w:sz w:val="30"/>
          <w:szCs w:val="30"/>
          <w:highlight w:val="none"/>
          <w:lang w:eastAsia="zh-CN"/>
        </w:rPr>
        <w:t>%；项目支出27737.00万元，占9</w:t>
      </w:r>
      <w:r>
        <w:rPr>
          <w:rFonts w:hint="eastAsia" w:ascii="仿宋" w:hAnsi="仿宋" w:eastAsia="仿宋" w:cs="仿宋"/>
          <w:sz w:val="30"/>
          <w:szCs w:val="30"/>
          <w:highlight w:val="none"/>
          <w:lang w:val="en-US" w:eastAsia="zh-CN"/>
        </w:rPr>
        <w:t>9.10</w:t>
      </w:r>
      <w:r>
        <w:rPr>
          <w:rFonts w:hint="eastAsia" w:ascii="仿宋" w:hAnsi="仿宋" w:eastAsia="仿宋" w:cs="仿宋"/>
          <w:sz w:val="30"/>
          <w:szCs w:val="30"/>
          <w:highlight w:val="none"/>
          <w:lang w:eastAsia="zh-CN"/>
        </w:rPr>
        <w:t>%。比上年预算数增加1859.13万元，主要原因是</w:t>
      </w:r>
      <w:r>
        <w:rPr>
          <w:rFonts w:hint="eastAsia" w:ascii="仿宋" w:hAnsi="仿宋" w:eastAsia="仿宋" w:cs="仿宋"/>
          <w:sz w:val="30"/>
          <w:szCs w:val="30"/>
          <w:highlight w:val="none"/>
          <w:lang w:eastAsia="zh-CN"/>
        </w:rPr>
        <w:t>项目支出（类）财政对基本养老保险基金的补助（款）财政对城乡居民基本养老保险基金的补助（项）27189.00</w:t>
      </w:r>
      <w:r>
        <w:rPr>
          <w:rFonts w:hint="eastAsia" w:ascii="仿宋" w:hAnsi="仿宋" w:eastAsia="仿宋" w:cs="仿宋"/>
          <w:sz w:val="30"/>
          <w:szCs w:val="30"/>
          <w:highlight w:val="none"/>
          <w:lang w:val="en-US" w:eastAsia="zh-CN"/>
        </w:rPr>
        <w:t>万元,</w:t>
      </w:r>
      <w:r>
        <w:rPr>
          <w:rFonts w:hint="eastAsia" w:ascii="仿宋" w:hAnsi="仿宋" w:eastAsia="仿宋" w:cs="仿宋"/>
          <w:sz w:val="30"/>
          <w:szCs w:val="30"/>
          <w:highlight w:val="none"/>
          <w:lang w:eastAsia="zh-CN"/>
        </w:rPr>
        <w:t>比上年预算数增加1426</w:t>
      </w:r>
      <w:r>
        <w:rPr>
          <w:rFonts w:hint="eastAsia" w:ascii="仿宋" w:hAnsi="仿宋" w:eastAsia="仿宋" w:cs="仿宋"/>
          <w:sz w:val="30"/>
          <w:szCs w:val="30"/>
          <w:highlight w:val="none"/>
          <w:lang w:val="en-US" w:eastAsia="zh-CN"/>
        </w:rPr>
        <w:t>万元;社会保障和就业支出（类）财政代缴社会保险费支出（款）财政代缴城乡居民基本养老保险费支出（项）2024年预算数为398.00万元,为今年新增项目支出</w:t>
      </w:r>
      <w:r>
        <w:rPr>
          <w:rFonts w:hint="eastAsia" w:ascii="仿宋" w:hAnsi="仿宋" w:eastAsia="仿宋" w:cs="仿宋"/>
          <w:sz w:val="30"/>
          <w:szCs w:val="30"/>
          <w:highlight w:val="none"/>
          <w:lang w:eastAsia="zh-CN"/>
        </w:rPr>
        <w:t>。</w:t>
      </w:r>
    </w:p>
    <w:p>
      <w:pPr>
        <w:ind w:firstLine="600" w:firstLineChars="200"/>
        <w:rPr>
          <w:rFonts w:hint="eastAsia" w:ascii="黑体" w:hAnsi="黑体" w:eastAsia="黑体" w:cs="黑体"/>
          <w:sz w:val="30"/>
          <w:szCs w:val="30"/>
          <w:highlight w:val="none"/>
          <w:shd w:val="clear" w:color="auto" w:fill="FFFFFF"/>
        </w:rPr>
      </w:pPr>
      <w:r>
        <w:rPr>
          <w:rFonts w:hint="eastAsia" w:ascii="黑体" w:hAnsi="黑体" w:eastAsia="黑体" w:cs="黑体"/>
          <w:sz w:val="30"/>
          <w:szCs w:val="30"/>
          <w:highlight w:val="none"/>
          <w:shd w:val="clear" w:color="auto" w:fill="FFFFFF"/>
          <w:lang w:eastAsia="zh-CN"/>
        </w:rPr>
        <w:t>九</w:t>
      </w:r>
      <w:r>
        <w:rPr>
          <w:rFonts w:hint="eastAsia" w:ascii="黑体" w:hAnsi="黑体" w:eastAsia="黑体" w:cs="黑体"/>
          <w:sz w:val="30"/>
          <w:szCs w:val="30"/>
          <w:highlight w:val="none"/>
          <w:shd w:val="clear" w:color="auto" w:fill="FFFFFF"/>
        </w:rPr>
        <w:t>、其他重要事项的情况说明</w:t>
      </w:r>
    </w:p>
    <w:p>
      <w:pPr>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（一）机关运行经费（行政单位、参照公务员法管理的事业单位需说明，其他单位不需要说明）</w:t>
      </w:r>
    </w:p>
    <w:p>
      <w:pPr>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lang w:val="en-US" w:eastAsia="zh-CN"/>
        </w:rPr>
        <w:t>2024</w:t>
      </w:r>
      <w:r>
        <w:rPr>
          <w:rFonts w:hint="eastAsia" w:ascii="仿宋" w:hAnsi="仿宋" w:eastAsia="仿宋" w:cs="仿宋"/>
          <w:sz w:val="30"/>
          <w:szCs w:val="30"/>
          <w:highlight w:val="none"/>
        </w:rPr>
        <w:t>年</w:t>
      </w:r>
      <w:r>
        <w:rPr>
          <w:rFonts w:hint="eastAsia" w:ascii="仿宋" w:hAnsi="仿宋" w:eastAsia="仿宋" w:cs="仿宋"/>
          <w:sz w:val="30"/>
          <w:szCs w:val="30"/>
          <w:highlight w:val="none"/>
          <w:lang w:eastAsia="zh-CN"/>
        </w:rPr>
        <w:t>海口市农村社会养老保险局公用</w:t>
      </w:r>
      <w:r>
        <w:rPr>
          <w:rFonts w:hint="eastAsia" w:ascii="仿宋" w:hAnsi="仿宋" w:eastAsia="仿宋" w:cs="仿宋"/>
          <w:sz w:val="30"/>
          <w:szCs w:val="30"/>
          <w:highlight w:val="none"/>
        </w:rPr>
        <w:t>经费预算23.</w:t>
      </w:r>
      <w:r>
        <w:rPr>
          <w:rFonts w:hint="eastAsia" w:ascii="仿宋" w:hAnsi="仿宋" w:eastAsia="仿宋" w:cs="仿宋"/>
          <w:sz w:val="30"/>
          <w:szCs w:val="30"/>
          <w:highlight w:val="none"/>
          <w:lang w:eastAsia="zh-CN"/>
        </w:rPr>
        <w:t>3</w:t>
      </w:r>
      <w:r>
        <w:rPr>
          <w:rFonts w:hint="eastAsia" w:ascii="仿宋" w:hAnsi="仿宋" w:eastAsia="仿宋" w:cs="仿宋"/>
          <w:sz w:val="30"/>
          <w:szCs w:val="30"/>
          <w:highlight w:val="none"/>
          <w:lang w:val="en-US" w:eastAsia="zh-CN"/>
        </w:rPr>
        <w:t>5</w:t>
      </w:r>
      <w:r>
        <w:rPr>
          <w:rFonts w:hint="eastAsia" w:ascii="仿宋" w:hAnsi="仿宋" w:eastAsia="仿宋" w:cs="仿宋"/>
          <w:sz w:val="30"/>
          <w:szCs w:val="30"/>
          <w:highlight w:val="none"/>
        </w:rPr>
        <w:t>万元。</w:t>
      </w:r>
    </w:p>
    <w:p>
      <w:pPr>
        <w:numPr>
          <w:ilvl w:val="0"/>
          <w:numId w:val="6"/>
        </w:numPr>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政府采购情况</w:t>
      </w:r>
    </w:p>
    <w:p>
      <w:pPr>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lang w:val="en-US" w:eastAsia="zh-CN"/>
        </w:rPr>
        <w:t>2024年海口市农村社会养老保险局政府采购预算总额0万元，其中：政府采购货物预算0万元。</w:t>
      </w:r>
    </w:p>
    <w:p>
      <w:pPr>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lang w:eastAsia="zh-CN"/>
        </w:rPr>
        <w:t>（三）</w:t>
      </w:r>
      <w:r>
        <w:rPr>
          <w:rFonts w:hint="eastAsia" w:ascii="仿宋" w:hAnsi="仿宋" w:eastAsia="仿宋" w:cs="仿宋"/>
          <w:sz w:val="30"/>
          <w:szCs w:val="30"/>
          <w:highlight w:val="none"/>
        </w:rPr>
        <w:t>国有资产占有使用情况</w:t>
      </w:r>
    </w:p>
    <w:p>
      <w:pPr>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截至</w:t>
      </w:r>
      <w:r>
        <w:rPr>
          <w:rFonts w:hint="eastAsia" w:ascii="仿宋" w:hAnsi="仿宋" w:eastAsia="仿宋" w:cs="仿宋"/>
          <w:sz w:val="30"/>
          <w:szCs w:val="30"/>
          <w:highlight w:val="none"/>
          <w:lang w:val="en-US" w:eastAsia="zh-CN"/>
        </w:rPr>
        <w:t>2023</w:t>
      </w:r>
      <w:r>
        <w:rPr>
          <w:rFonts w:hint="eastAsia" w:ascii="仿宋" w:hAnsi="仿宋" w:eastAsia="仿宋" w:cs="仿宋"/>
          <w:sz w:val="30"/>
          <w:szCs w:val="30"/>
          <w:highlight w:val="none"/>
        </w:rPr>
        <w:t>年12月31日，</w:t>
      </w:r>
      <w:r>
        <w:rPr>
          <w:rFonts w:hint="eastAsia" w:ascii="仿宋" w:hAnsi="仿宋" w:eastAsia="仿宋" w:cs="仿宋"/>
          <w:sz w:val="30"/>
          <w:szCs w:val="30"/>
          <w:highlight w:val="none"/>
          <w:lang w:eastAsia="zh-CN"/>
        </w:rPr>
        <w:t>海口市农村社会养老保险局</w:t>
      </w:r>
      <w:r>
        <w:rPr>
          <w:rFonts w:hint="eastAsia" w:ascii="仿宋" w:hAnsi="仿宋" w:eastAsia="仿宋" w:cs="仿宋"/>
          <w:sz w:val="30"/>
          <w:szCs w:val="30"/>
          <w:highlight w:val="none"/>
        </w:rPr>
        <w:t>共有车辆</w:t>
      </w:r>
      <w:r>
        <w:rPr>
          <w:rFonts w:hint="eastAsia" w:ascii="仿宋" w:hAnsi="仿宋" w:eastAsia="仿宋" w:cs="仿宋"/>
          <w:sz w:val="30"/>
          <w:szCs w:val="30"/>
          <w:highlight w:val="none"/>
          <w:lang w:val="en-US" w:eastAsia="zh-CN"/>
        </w:rPr>
        <w:t>1</w:t>
      </w:r>
      <w:r>
        <w:rPr>
          <w:rFonts w:hint="eastAsia" w:ascii="仿宋" w:hAnsi="仿宋" w:eastAsia="仿宋" w:cs="仿宋"/>
          <w:sz w:val="30"/>
          <w:szCs w:val="30"/>
          <w:highlight w:val="none"/>
        </w:rPr>
        <w:t>辆，其中，领导干部用车0辆，机要通信应急用车0辆、一般执法执勤用车0辆、特种专业技术用车0辆、其他用车1辆。单位价值100万元以上设备0台（套）。</w:t>
      </w:r>
    </w:p>
    <w:p>
      <w:pPr>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w:t>
      </w:r>
      <w:r>
        <w:rPr>
          <w:rFonts w:hint="eastAsia" w:ascii="仿宋" w:hAnsi="仿宋" w:eastAsia="仿宋" w:cs="仿宋"/>
          <w:sz w:val="30"/>
          <w:szCs w:val="30"/>
          <w:highlight w:val="none"/>
          <w:lang w:eastAsia="zh-CN"/>
        </w:rPr>
        <w:t>四</w:t>
      </w:r>
      <w:r>
        <w:rPr>
          <w:rFonts w:hint="eastAsia" w:ascii="仿宋" w:hAnsi="仿宋" w:eastAsia="仿宋" w:cs="仿宋"/>
          <w:sz w:val="30"/>
          <w:szCs w:val="30"/>
          <w:highlight w:val="none"/>
        </w:rPr>
        <w:t>）绩效目标设置情况</w:t>
      </w:r>
    </w:p>
    <w:p>
      <w:pPr>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lang w:val="en-US" w:eastAsia="zh-CN"/>
        </w:rPr>
        <w:t>2024年海口市农村社会养老保险局13个项目实行绩效目标管理，涉及一般公共预算27987.59万元。</w:t>
      </w:r>
    </w:p>
    <w:p>
      <w:pPr>
        <w:jc w:val="left"/>
        <w:rPr>
          <w:rFonts w:hint="eastAsia" w:ascii="仿宋" w:hAnsi="仿宋" w:eastAsia="仿宋" w:cs="仿宋"/>
          <w:color w:val="000000"/>
          <w:kern w:val="0"/>
          <w:sz w:val="30"/>
          <w:szCs w:val="30"/>
          <w:highlight w:val="none"/>
        </w:rPr>
      </w:pPr>
    </w:p>
    <w:p>
      <w:pPr>
        <w:jc w:val="center"/>
        <w:rPr>
          <w:rFonts w:hint="eastAsia" w:ascii="方正小标宋简体" w:hAnsi="方正小标宋简体" w:eastAsia="方正小标宋简体" w:cs="方正小标宋简体"/>
          <w:b w:val="0"/>
          <w:bCs/>
          <w:sz w:val="30"/>
          <w:szCs w:val="30"/>
          <w:highlight w:val="none"/>
        </w:rPr>
      </w:pPr>
      <w:r>
        <w:rPr>
          <w:rFonts w:hint="eastAsia" w:ascii="方正小标宋简体" w:hAnsi="方正小标宋简体" w:eastAsia="方正小标宋简体" w:cs="方正小标宋简体"/>
          <w:b w:val="0"/>
          <w:bCs/>
          <w:sz w:val="30"/>
          <w:szCs w:val="30"/>
          <w:highlight w:val="none"/>
        </w:rPr>
        <w:t>第四部分  名词解释</w:t>
      </w:r>
    </w:p>
    <w:p>
      <w:pPr>
        <w:ind w:firstLine="600" w:firstLineChars="200"/>
        <w:jc w:val="left"/>
        <w:rPr>
          <w:rFonts w:hint="eastAsia" w:ascii="仿宋" w:hAnsi="仿宋" w:eastAsia="仿宋" w:cs="仿宋"/>
          <w:bCs/>
          <w:color w:val="000000"/>
          <w:kern w:val="0"/>
          <w:sz w:val="30"/>
          <w:szCs w:val="30"/>
          <w:highlight w:val="none"/>
          <w:lang w:val="zh-CN"/>
        </w:rPr>
      </w:pPr>
    </w:p>
    <w:p>
      <w:pPr>
        <w:ind w:firstLine="600" w:firstLineChars="200"/>
        <w:jc w:val="left"/>
        <w:rPr>
          <w:rFonts w:hint="eastAsia" w:ascii="仿宋" w:hAnsi="仿宋" w:eastAsia="仿宋" w:cs="仿宋"/>
          <w:color w:val="000000"/>
          <w:kern w:val="0"/>
          <w:sz w:val="30"/>
          <w:szCs w:val="30"/>
          <w:highlight w:val="none"/>
        </w:rPr>
      </w:pPr>
      <w:r>
        <w:rPr>
          <w:rFonts w:hint="eastAsia" w:ascii="仿宋" w:hAnsi="仿宋" w:eastAsia="仿宋" w:cs="仿宋"/>
          <w:color w:val="000000"/>
          <w:kern w:val="0"/>
          <w:sz w:val="30"/>
          <w:szCs w:val="30"/>
          <w:highlight w:val="none"/>
        </w:rPr>
        <w:t>一、财政拨款收入：指本级财政当年拨付的资金。</w:t>
      </w:r>
    </w:p>
    <w:p>
      <w:pPr>
        <w:ind w:firstLine="600" w:firstLineChars="200"/>
        <w:jc w:val="left"/>
        <w:rPr>
          <w:rFonts w:hint="eastAsia" w:ascii="仿宋" w:hAnsi="仿宋" w:eastAsia="仿宋" w:cs="仿宋"/>
          <w:color w:val="000000"/>
          <w:kern w:val="0"/>
          <w:sz w:val="30"/>
          <w:szCs w:val="30"/>
          <w:highlight w:val="none"/>
        </w:rPr>
      </w:pPr>
      <w:r>
        <w:rPr>
          <w:rFonts w:hint="eastAsia" w:ascii="仿宋" w:hAnsi="仿宋" w:eastAsia="仿宋" w:cs="仿宋"/>
          <w:color w:val="000000"/>
          <w:kern w:val="0"/>
          <w:sz w:val="30"/>
          <w:szCs w:val="30"/>
          <w:highlight w:val="none"/>
        </w:rPr>
        <w:t>二、事业收入：指事业单位开展专业业务活动及辅助活动取得的收入。</w:t>
      </w:r>
    </w:p>
    <w:p>
      <w:pPr>
        <w:ind w:firstLine="600" w:firstLineChars="200"/>
        <w:jc w:val="left"/>
        <w:rPr>
          <w:rFonts w:hint="eastAsia" w:ascii="仿宋" w:hAnsi="仿宋" w:eastAsia="仿宋" w:cs="仿宋"/>
          <w:color w:val="000000"/>
          <w:kern w:val="0"/>
          <w:sz w:val="30"/>
          <w:szCs w:val="30"/>
          <w:highlight w:val="none"/>
        </w:rPr>
      </w:pPr>
      <w:r>
        <w:rPr>
          <w:rFonts w:hint="eastAsia" w:ascii="仿宋" w:hAnsi="仿宋" w:eastAsia="仿宋" w:cs="仿宋"/>
          <w:color w:val="000000"/>
          <w:kern w:val="0"/>
          <w:sz w:val="30"/>
          <w:szCs w:val="30"/>
          <w:highlight w:val="none"/>
        </w:rPr>
        <w:t>三、经营收入：指事业单位在专业业务活动及其辅助活动之外开展非独立核算经营活动取得的收入。</w:t>
      </w:r>
    </w:p>
    <w:p>
      <w:pPr>
        <w:ind w:firstLine="600" w:firstLineChars="200"/>
        <w:jc w:val="left"/>
        <w:rPr>
          <w:rFonts w:hint="eastAsia" w:ascii="仿宋" w:hAnsi="仿宋" w:eastAsia="仿宋" w:cs="仿宋"/>
          <w:color w:val="000000"/>
          <w:kern w:val="0"/>
          <w:sz w:val="30"/>
          <w:szCs w:val="30"/>
          <w:highlight w:val="none"/>
        </w:rPr>
      </w:pPr>
      <w:r>
        <w:rPr>
          <w:rFonts w:hint="eastAsia" w:ascii="仿宋" w:hAnsi="仿宋" w:eastAsia="仿宋" w:cs="仿宋"/>
          <w:color w:val="000000"/>
          <w:kern w:val="0"/>
          <w:sz w:val="30"/>
          <w:szCs w:val="30"/>
          <w:highlight w:val="none"/>
        </w:rPr>
        <w:t>四、其他收入：指除上述“财政拨款收入”“事业收入”“经营收入”等以外的收入。</w:t>
      </w:r>
    </w:p>
    <w:p>
      <w:pPr>
        <w:ind w:firstLine="600" w:firstLineChars="200"/>
        <w:jc w:val="left"/>
        <w:rPr>
          <w:rFonts w:hint="eastAsia" w:ascii="仿宋" w:hAnsi="仿宋" w:eastAsia="仿宋" w:cs="仿宋"/>
          <w:color w:val="000000"/>
          <w:kern w:val="0"/>
          <w:sz w:val="30"/>
          <w:szCs w:val="30"/>
          <w:highlight w:val="none"/>
        </w:rPr>
      </w:pPr>
      <w:r>
        <w:rPr>
          <w:rFonts w:hint="eastAsia" w:ascii="仿宋" w:hAnsi="仿宋" w:eastAsia="仿宋" w:cs="仿宋"/>
          <w:color w:val="000000"/>
          <w:kern w:val="0"/>
          <w:sz w:val="30"/>
          <w:szCs w:val="30"/>
          <w:highlight w:val="none"/>
        </w:rPr>
        <w:t>五、年初结转和结余：指以前年度尚未完成、结转到本年按有关规定继续使用的资金。</w:t>
      </w:r>
    </w:p>
    <w:p>
      <w:pPr>
        <w:ind w:firstLine="600" w:firstLineChars="200"/>
        <w:jc w:val="left"/>
        <w:rPr>
          <w:rFonts w:hint="eastAsia" w:ascii="仿宋" w:hAnsi="仿宋" w:eastAsia="仿宋" w:cs="仿宋"/>
          <w:color w:val="000000"/>
          <w:kern w:val="0"/>
          <w:sz w:val="30"/>
          <w:szCs w:val="30"/>
          <w:highlight w:val="none"/>
        </w:rPr>
      </w:pPr>
      <w:r>
        <w:rPr>
          <w:rFonts w:hint="eastAsia" w:ascii="仿宋" w:hAnsi="仿宋" w:eastAsia="仿宋" w:cs="仿宋"/>
          <w:color w:val="000000"/>
          <w:kern w:val="0"/>
          <w:sz w:val="30"/>
          <w:szCs w:val="30"/>
          <w:highlight w:val="none"/>
        </w:rPr>
        <w:t xml:space="preserve">六、基本支出：指行政事业单位用于为保障其机构正常运转、完成日常工作任务而发生的人员支出和公用支出。   </w:t>
      </w:r>
    </w:p>
    <w:p>
      <w:pPr>
        <w:ind w:firstLine="600" w:firstLineChars="200"/>
        <w:jc w:val="left"/>
        <w:rPr>
          <w:rFonts w:hint="eastAsia" w:ascii="仿宋" w:hAnsi="仿宋" w:eastAsia="仿宋" w:cs="仿宋"/>
          <w:color w:val="000000"/>
          <w:kern w:val="0"/>
          <w:sz w:val="30"/>
          <w:szCs w:val="30"/>
          <w:highlight w:val="none"/>
        </w:rPr>
      </w:pPr>
      <w:r>
        <w:rPr>
          <w:rFonts w:hint="eastAsia" w:ascii="仿宋" w:hAnsi="仿宋" w:eastAsia="仿宋" w:cs="仿宋"/>
          <w:color w:val="000000"/>
          <w:kern w:val="0"/>
          <w:sz w:val="30"/>
          <w:szCs w:val="30"/>
          <w:highlight w:val="none"/>
        </w:rPr>
        <w:t>七、工资福利支出：反映单位开支的在职职工和编制外长期聘用人员的各类劳动报酬，以及为上述人员缴纳的各项社会保险费等。</w:t>
      </w:r>
    </w:p>
    <w:p>
      <w:pPr>
        <w:ind w:firstLine="600" w:firstLineChars="200"/>
        <w:jc w:val="left"/>
        <w:rPr>
          <w:rFonts w:hint="eastAsia" w:ascii="仿宋" w:hAnsi="仿宋" w:eastAsia="仿宋" w:cs="仿宋"/>
          <w:color w:val="000000"/>
          <w:kern w:val="0"/>
          <w:sz w:val="30"/>
          <w:szCs w:val="30"/>
          <w:highlight w:val="none"/>
        </w:rPr>
      </w:pPr>
      <w:r>
        <w:rPr>
          <w:rFonts w:hint="eastAsia" w:ascii="仿宋" w:hAnsi="仿宋" w:eastAsia="仿宋" w:cs="仿宋"/>
          <w:color w:val="000000"/>
          <w:kern w:val="0"/>
          <w:sz w:val="30"/>
          <w:szCs w:val="30"/>
          <w:highlight w:val="none"/>
        </w:rPr>
        <w:t>八、对个人和家庭的补助支出：反映政府用于对个人和家庭的补助支出，包括离休费、退休费、退职（役）费、抚恤金、生活补助、救济费、医疗费补助、助学金、独生子女奖励金、其他等。</w:t>
      </w:r>
    </w:p>
    <w:p>
      <w:pPr>
        <w:ind w:firstLine="600" w:firstLineChars="200"/>
        <w:jc w:val="left"/>
        <w:rPr>
          <w:rFonts w:hint="eastAsia" w:ascii="仿宋" w:hAnsi="仿宋" w:eastAsia="仿宋" w:cs="仿宋"/>
          <w:color w:val="000000"/>
          <w:kern w:val="0"/>
          <w:sz w:val="30"/>
          <w:szCs w:val="30"/>
          <w:highlight w:val="none"/>
        </w:rPr>
      </w:pPr>
      <w:r>
        <w:rPr>
          <w:rFonts w:hint="eastAsia" w:ascii="仿宋" w:hAnsi="仿宋" w:eastAsia="仿宋" w:cs="仿宋"/>
          <w:color w:val="000000"/>
          <w:kern w:val="0"/>
          <w:sz w:val="30"/>
          <w:szCs w:val="30"/>
          <w:highlight w:val="none"/>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00" w:firstLineChars="200"/>
        <w:jc w:val="left"/>
        <w:rPr>
          <w:rFonts w:hint="eastAsia" w:ascii="仿宋" w:hAnsi="仿宋" w:eastAsia="仿宋" w:cs="仿宋"/>
          <w:color w:val="000000"/>
          <w:kern w:val="0"/>
          <w:sz w:val="30"/>
          <w:szCs w:val="30"/>
          <w:highlight w:val="none"/>
        </w:rPr>
      </w:pPr>
      <w:r>
        <w:rPr>
          <w:rFonts w:hint="eastAsia" w:ascii="仿宋" w:hAnsi="仿宋" w:eastAsia="仿宋" w:cs="仿宋"/>
          <w:color w:val="000000"/>
          <w:kern w:val="0"/>
          <w:sz w:val="30"/>
          <w:szCs w:val="30"/>
          <w:highlight w:val="none"/>
        </w:rPr>
        <w:t>十、项目支出：指各部门、各单位为完成其特定的工作任务和事业发展目标所发生的支出。</w:t>
      </w:r>
    </w:p>
    <w:p>
      <w:pPr>
        <w:ind w:firstLine="600" w:firstLineChars="200"/>
        <w:jc w:val="left"/>
        <w:rPr>
          <w:rFonts w:hint="eastAsia" w:ascii="仿宋" w:hAnsi="仿宋" w:eastAsia="仿宋" w:cs="仿宋"/>
          <w:color w:val="000000"/>
          <w:kern w:val="0"/>
          <w:sz w:val="30"/>
          <w:szCs w:val="30"/>
          <w:highlight w:val="none"/>
        </w:rPr>
      </w:pPr>
      <w:r>
        <w:rPr>
          <w:rFonts w:hint="eastAsia" w:ascii="仿宋" w:hAnsi="仿宋" w:eastAsia="仿宋" w:cs="仿宋"/>
          <w:color w:val="000000"/>
          <w:kern w:val="0"/>
          <w:sz w:val="30"/>
          <w:szCs w:val="30"/>
          <w:highlight w:val="none"/>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00" w:firstLineChars="200"/>
        <w:jc w:val="left"/>
        <w:rPr>
          <w:rFonts w:ascii="仿宋_GB2312" w:hAnsi="黑体" w:eastAsia="仿宋_GB2312" w:cs="仿宋_GB2312"/>
          <w:sz w:val="32"/>
          <w:szCs w:val="32"/>
          <w:highlight w:val="none"/>
        </w:rPr>
      </w:pPr>
      <w:r>
        <w:rPr>
          <w:rFonts w:hint="eastAsia" w:ascii="仿宋" w:hAnsi="仿宋" w:eastAsia="仿宋" w:cs="仿宋"/>
          <w:color w:val="000000"/>
          <w:kern w:val="0"/>
          <w:sz w:val="30"/>
          <w:szCs w:val="30"/>
          <w:highlight w:val="none"/>
        </w:rPr>
        <w:t>十二、机关运行经费：为保障行政单位（含参照公务员法管理的事业单位）运行用于购买货物和服务的各项资金，包括办公及印刷费、邮电费、</w:t>
      </w:r>
      <w:bookmarkStart w:id="0" w:name="_GoBack"/>
      <w:bookmarkEnd w:id="0"/>
      <w:r>
        <w:rPr>
          <w:rFonts w:hint="eastAsia" w:ascii="仿宋" w:hAnsi="仿宋" w:eastAsia="仿宋" w:cs="仿宋"/>
          <w:color w:val="000000"/>
          <w:kern w:val="0"/>
          <w:sz w:val="30"/>
          <w:szCs w:val="30"/>
          <w:highlight w:val="none"/>
        </w:rPr>
        <w:t>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6DE1101"/>
    <w:multiLevelType w:val="singleLevel"/>
    <w:tmpl w:val="96DE1101"/>
    <w:lvl w:ilvl="0" w:tentative="0">
      <w:start w:val="1"/>
      <w:numFmt w:val="chineseCounting"/>
      <w:suff w:val="nothing"/>
      <w:lvlText w:val="%1、"/>
      <w:lvlJc w:val="left"/>
      <w:rPr>
        <w:rFonts w:hint="eastAsia"/>
      </w:rPr>
    </w:lvl>
  </w:abstractNum>
  <w:abstractNum w:abstractNumId="1">
    <w:nsid w:val="9D6A3C23"/>
    <w:multiLevelType w:val="singleLevel"/>
    <w:tmpl w:val="9D6A3C23"/>
    <w:lvl w:ilvl="0" w:tentative="0">
      <w:start w:val="2"/>
      <w:numFmt w:val="chineseCounting"/>
      <w:suff w:val="space"/>
      <w:lvlText w:val="第%1部分"/>
      <w:lvlJc w:val="left"/>
      <w:rPr>
        <w:rFonts w:hint="eastAsia"/>
      </w:rPr>
    </w:lvl>
  </w:abstractNum>
  <w:abstractNum w:abstractNumId="2">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D0F3F9D"/>
    <w:multiLevelType w:val="singleLevel"/>
    <w:tmpl w:val="0D0F3F9D"/>
    <w:lvl w:ilvl="0" w:tentative="0">
      <w:start w:val="2"/>
      <w:numFmt w:val="chineseCounting"/>
      <w:suff w:val="nothing"/>
      <w:lvlText w:val="（%1）"/>
      <w:lvlJc w:val="left"/>
      <w:rPr>
        <w:rFonts w:hint="eastAsia"/>
      </w:r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4"/>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8EA"/>
    <w:rsid w:val="000600B1"/>
    <w:rsid w:val="00346944"/>
    <w:rsid w:val="004E7DED"/>
    <w:rsid w:val="00551898"/>
    <w:rsid w:val="00607BAC"/>
    <w:rsid w:val="006B6DF8"/>
    <w:rsid w:val="00C07FF8"/>
    <w:rsid w:val="00CE5B8D"/>
    <w:rsid w:val="00F718EA"/>
    <w:rsid w:val="00FD69B6"/>
    <w:rsid w:val="02260BE7"/>
    <w:rsid w:val="02F73E74"/>
    <w:rsid w:val="076F3EBD"/>
    <w:rsid w:val="08491FAB"/>
    <w:rsid w:val="09B44B4A"/>
    <w:rsid w:val="0B517DAE"/>
    <w:rsid w:val="0BA22FCE"/>
    <w:rsid w:val="12381544"/>
    <w:rsid w:val="12627AF3"/>
    <w:rsid w:val="154544EA"/>
    <w:rsid w:val="173B54F1"/>
    <w:rsid w:val="18D50057"/>
    <w:rsid w:val="18E16DBE"/>
    <w:rsid w:val="1AB203EF"/>
    <w:rsid w:val="1B1A64C8"/>
    <w:rsid w:val="1C86319D"/>
    <w:rsid w:val="1D0F7294"/>
    <w:rsid w:val="1DD075F4"/>
    <w:rsid w:val="21023D63"/>
    <w:rsid w:val="217D2632"/>
    <w:rsid w:val="23301004"/>
    <w:rsid w:val="276E65EA"/>
    <w:rsid w:val="279637DA"/>
    <w:rsid w:val="28B72577"/>
    <w:rsid w:val="34754EE2"/>
    <w:rsid w:val="35C34119"/>
    <w:rsid w:val="3A336385"/>
    <w:rsid w:val="3CDD348B"/>
    <w:rsid w:val="3D385050"/>
    <w:rsid w:val="3FCF444B"/>
    <w:rsid w:val="45D01413"/>
    <w:rsid w:val="4ABB2594"/>
    <w:rsid w:val="4AE55F96"/>
    <w:rsid w:val="4B467647"/>
    <w:rsid w:val="4E0A39B0"/>
    <w:rsid w:val="4ECC6AEA"/>
    <w:rsid w:val="4F704D4E"/>
    <w:rsid w:val="511C5A13"/>
    <w:rsid w:val="526E446E"/>
    <w:rsid w:val="536267E2"/>
    <w:rsid w:val="58337FDF"/>
    <w:rsid w:val="59070377"/>
    <w:rsid w:val="592A7A11"/>
    <w:rsid w:val="5D547C19"/>
    <w:rsid w:val="5D573E46"/>
    <w:rsid w:val="610D05CD"/>
    <w:rsid w:val="61A4774F"/>
    <w:rsid w:val="61DF2328"/>
    <w:rsid w:val="642176FA"/>
    <w:rsid w:val="6F0A4CCC"/>
    <w:rsid w:val="7054684B"/>
    <w:rsid w:val="73134596"/>
    <w:rsid w:val="74F37BE3"/>
    <w:rsid w:val="756E1EDB"/>
    <w:rsid w:val="75C128A6"/>
    <w:rsid w:val="772D10D7"/>
    <w:rsid w:val="78665B1A"/>
    <w:rsid w:val="78ED2599"/>
    <w:rsid w:val="7B8535CD"/>
    <w:rsid w:val="7BBA3520"/>
    <w:rsid w:val="7C206E61"/>
    <w:rsid w:val="7C325B62"/>
    <w:rsid w:val="7D625075"/>
    <w:rsid w:val="7E772834"/>
    <w:rsid w:val="7E9078FD"/>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semiHidden/>
    <w:unhideWhenUsed/>
    <w:qFormat/>
    <w:uiPriority w:val="0"/>
    <w:pPr>
      <w:jc w:val="left"/>
    </w:p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列出段落1"/>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 w:type="character" w:customStyle="1" w:styleId="11">
    <w:name w:val="font01"/>
    <w:basedOn w:val="6"/>
    <w:qFormat/>
    <w:uiPriority w:val="0"/>
    <w:rPr>
      <w:rFonts w:hint="eastAsia" w:ascii="宋体" w:hAnsi="宋体" w:eastAsia="宋体" w:cs="宋体"/>
      <w:color w:val="000000"/>
      <w:sz w:val="22"/>
      <w:szCs w:val="22"/>
      <w:u w:val="none"/>
    </w:rPr>
  </w:style>
  <w:style w:type="character" w:customStyle="1" w:styleId="12">
    <w:name w:val="font41"/>
    <w:basedOn w:val="6"/>
    <w:qFormat/>
    <w:uiPriority w:val="0"/>
    <w:rPr>
      <w:rFonts w:hint="eastAsia" w:ascii="宋体" w:hAnsi="宋体" w:eastAsia="宋体" w:cs="宋体"/>
      <w:color w:val="000000"/>
      <w:sz w:val="22"/>
      <w:szCs w:val="22"/>
      <w:u w:val="none"/>
    </w:rPr>
  </w:style>
  <w:style w:type="character" w:customStyle="1" w:styleId="13">
    <w:name w:val="font51"/>
    <w:basedOn w:val="6"/>
    <w:qFormat/>
    <w:uiPriority w:val="0"/>
    <w:rPr>
      <w:rFonts w:hint="eastAsia" w:ascii="宋体" w:hAnsi="宋体" w:eastAsia="宋体" w:cs="宋体"/>
      <w:color w:val="000000"/>
      <w:sz w:val="22"/>
      <w:szCs w:val="22"/>
      <w:u w:val="none"/>
    </w:rPr>
  </w:style>
  <w:style w:type="paragraph" w:customStyle="1" w:styleId="14">
    <w:name w:val="列表段落1"/>
    <w:basedOn w:val="1"/>
    <w:qFormat/>
    <w:uiPriority w:val="34"/>
    <w:pPr>
      <w:ind w:firstLine="420" w:firstLineChars="200"/>
    </w:pPr>
  </w:style>
  <w:style w:type="paragraph" w:customStyle="1" w:styleId="15">
    <w:name w:val="List Paragraph1"/>
    <w:basedOn w:val="1"/>
    <w:qFormat/>
    <w:uiPriority w:val="99"/>
    <w:pPr>
      <w:ind w:firstLine="420" w:firstLineChars="200"/>
    </w:pPr>
  </w:style>
  <w:style w:type="character" w:customStyle="1" w:styleId="16">
    <w:name w:val="font31"/>
    <w:basedOn w:val="6"/>
    <w:uiPriority w:val="0"/>
    <w:rPr>
      <w:rFonts w:hint="eastAsia" w:ascii="宋体" w:hAnsi="宋体" w:eastAsia="宋体" w:cs="宋体"/>
      <w:color w:val="000000"/>
      <w:sz w:val="22"/>
      <w:szCs w:val="22"/>
      <w:u w:val="none"/>
    </w:rPr>
  </w:style>
  <w:style w:type="character" w:customStyle="1" w:styleId="17">
    <w:name w:val="font21"/>
    <w:basedOn w:val="6"/>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533</Words>
  <Characters>3042</Characters>
  <Lines>25</Lines>
  <Paragraphs>7</Paragraphs>
  <TotalTime>2</TotalTime>
  <ScaleCrop>false</ScaleCrop>
  <LinksUpToDate>false</LinksUpToDate>
  <CharactersWithSpaces>3568</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cp:lastPrinted>2023-03-16T03:12:00Z</cp:lastPrinted>
  <dcterms:modified xsi:type="dcterms:W3CDTF">2024-02-06T10:13:46Z</dcterms:modified>
  <dc:title>××年××部门（单位）预算</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