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color w:val="000000" w:themeColor="text1"/>
          <w:sz w:val="44"/>
          <w:szCs w:val="44"/>
          <w14:textFill>
            <w14:solidFill>
              <w14:schemeClr w14:val="tx1"/>
            </w14:solidFill>
          </w14:textFill>
        </w:rPr>
      </w:pPr>
      <w:r>
        <w:rPr>
          <w:rFonts w:hint="eastAsia" w:asciiTheme="majorEastAsia" w:hAnsiTheme="majorEastAsia" w:eastAsiaTheme="majorEastAsia" w:cstheme="majorEastAsia"/>
          <w:b/>
          <w:bCs/>
          <w:color w:val="000000" w:themeColor="text1"/>
          <w:sz w:val="44"/>
          <w:szCs w:val="44"/>
          <w14:textFill>
            <w14:solidFill>
              <w14:schemeClr w14:val="tx1"/>
            </w14:solidFill>
          </w14:textFill>
        </w:rPr>
        <w:t>海口市人力资源开发局本级</w:t>
      </w:r>
      <w:r>
        <w:rPr>
          <w:rFonts w:hint="default" w:asciiTheme="majorEastAsia" w:hAnsiTheme="majorEastAsia" w:eastAsiaTheme="majorEastAsia" w:cstheme="majorEastAsia"/>
          <w:b/>
          <w:bCs/>
          <w:color w:val="000000" w:themeColor="text1"/>
          <w:sz w:val="44"/>
          <w:szCs w:val="44"/>
          <w:lang w:val="en-US"/>
          <w14:textFill>
            <w14:solidFill>
              <w14:schemeClr w14:val="tx1"/>
            </w14:solidFill>
          </w14:textFill>
        </w:rPr>
        <w:t>2025</w:t>
      </w:r>
      <w:r>
        <w:rPr>
          <w:rFonts w:hint="eastAsia" w:asciiTheme="majorEastAsia" w:hAnsiTheme="majorEastAsia" w:eastAsiaTheme="majorEastAsia" w:cstheme="majorEastAsia"/>
          <w:b/>
          <w:bCs/>
          <w:color w:val="000000" w:themeColor="text1"/>
          <w:sz w:val="44"/>
          <w:szCs w:val="44"/>
          <w14:textFill>
            <w14:solidFill>
              <w14:schemeClr w14:val="tx1"/>
            </w14:solidFill>
          </w14:textFill>
        </w:rPr>
        <w:t>年度</w:t>
      </w:r>
      <w:r>
        <w:rPr>
          <w:rFonts w:hint="eastAsia" w:asciiTheme="majorEastAsia" w:hAnsiTheme="majorEastAsia" w:eastAsiaTheme="majorEastAsia" w:cstheme="majorEastAsia"/>
          <w:b/>
          <w:bCs/>
          <w:color w:val="000000" w:themeColor="text1"/>
          <w:sz w:val="44"/>
          <w:szCs w:val="44"/>
          <w:lang w:eastAsia="zh-CN"/>
          <w14:textFill>
            <w14:solidFill>
              <w14:schemeClr w14:val="tx1"/>
            </w14:solidFill>
          </w14:textFill>
        </w:rPr>
        <w:t>本级</w:t>
      </w:r>
      <w:r>
        <w:rPr>
          <w:rFonts w:hint="eastAsia" w:asciiTheme="majorEastAsia" w:hAnsiTheme="majorEastAsia" w:eastAsiaTheme="majorEastAsia" w:cstheme="majorEastAsia"/>
          <w:b/>
          <w:bCs/>
          <w:color w:val="000000" w:themeColor="text1"/>
          <w:sz w:val="44"/>
          <w:szCs w:val="44"/>
          <w14:textFill>
            <w14:solidFill>
              <w14:schemeClr w14:val="tx1"/>
            </w14:solidFill>
          </w14:textFill>
        </w:rPr>
        <w:t>决算公开报告</w:t>
      </w:r>
    </w:p>
    <w:p>
      <w:pPr>
        <w:spacing w:line="578" w:lineRule="exact"/>
        <w:jc w:val="center"/>
        <w:rPr>
          <w:rFonts w:hint="eastAsia" w:ascii="黑体" w:hAnsi="ˎ̥" w:eastAsia="黑体"/>
          <w:b/>
          <w:color w:val="000000" w:themeColor="text1"/>
          <w:sz w:val="32"/>
          <w:szCs w:val="32"/>
          <w14:textFill>
            <w14:solidFill>
              <w14:schemeClr w14:val="tx1"/>
            </w14:solidFill>
          </w14:textFill>
        </w:rPr>
      </w:pPr>
    </w:p>
    <w:p>
      <w:pPr>
        <w:spacing w:line="578" w:lineRule="exact"/>
        <w:jc w:val="center"/>
        <w:rPr>
          <w:rFonts w:hint="eastAsia" w:ascii="黑体" w:hAnsi="黑体" w:eastAsia="黑体" w:cs="黑体"/>
          <w:color w:val="000000" w:themeColor="text1"/>
          <w:sz w:val="44"/>
          <w:szCs w:val="44"/>
          <w14:textFill>
            <w14:solidFill>
              <w14:schemeClr w14:val="tx1"/>
            </w14:solidFill>
          </w14:textFill>
        </w:rPr>
      </w:pPr>
      <w:bookmarkStart w:id="0" w:name="_Toc11440_WPSOffice_Type2"/>
      <w:r>
        <w:rPr>
          <w:rFonts w:hint="eastAsia" w:ascii="黑体" w:hAnsi="黑体" w:eastAsia="黑体" w:cs="黑体"/>
          <w:color w:val="000000" w:themeColor="text1"/>
          <w:sz w:val="44"/>
          <w:szCs w:val="44"/>
          <w14:textFill>
            <w14:solidFill>
              <w14:schemeClr w14:val="tx1"/>
            </w14:solidFill>
          </w14:textFill>
        </w:rPr>
        <w:t>目  录</w:t>
      </w:r>
    </w:p>
    <w:p>
      <w:pPr>
        <w:pStyle w:val="15"/>
        <w:tabs>
          <w:tab w:val="right" w:leader="dot" w:pos="8306"/>
        </w:tabs>
        <w:spacing w:line="578" w:lineRule="exact"/>
        <w:rPr>
          <w:rFonts w:hint="eastAsia"/>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_Toc1704_WPSOffice_Level1 </w:instrText>
      </w:r>
      <w:r>
        <w:rPr>
          <w:color w:val="000000" w:themeColor="text1"/>
          <w:sz w:val="32"/>
          <w:szCs w:val="32"/>
          <w14:textFill>
            <w14:solidFill>
              <w14:schemeClr w14:val="tx1"/>
            </w14:solidFill>
          </w14:textFill>
        </w:rPr>
        <w:fldChar w:fldCharType="separate"/>
      </w:r>
      <w:r>
        <w:rPr>
          <w:rFonts w:hint="eastAsia" w:ascii="黑体" w:hAnsi="ˎ̥" w:eastAsia="黑体"/>
          <w:color w:val="000000" w:themeColor="text1"/>
          <w:sz w:val="32"/>
          <w:szCs w:val="32"/>
          <w14:textFill>
            <w14:solidFill>
              <w14:schemeClr w14:val="tx1"/>
            </w14:solidFill>
          </w14:textFill>
        </w:rPr>
        <w:t>第一部分 基本情况</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fldChar w:fldCharType="end"/>
      </w:r>
      <w:r>
        <w:rPr>
          <w:rFonts w:hint="eastAsia"/>
          <w:color w:val="000000" w:themeColor="text1"/>
          <w:sz w:val="32"/>
          <w:szCs w:val="32"/>
          <w14:textFill>
            <w14:solidFill>
              <w14:schemeClr w14:val="tx1"/>
            </w14:solidFill>
          </w14:textFill>
        </w:rPr>
        <w:t>2</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_Toc20274_WPSOffice_Level2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一、部门（单位）职责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2</w:t>
      </w:r>
    </w:p>
    <w:p>
      <w:pPr>
        <w:pStyle w:val="16"/>
        <w:tabs>
          <w:tab w:val="right" w:leader="dot" w:pos="8306"/>
        </w:tabs>
        <w:spacing w:line="578" w:lineRule="exact"/>
        <w:ind w:leftChars="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_Toc4833_WPSOffice_Level2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pPr>
        <w:pStyle w:val="15"/>
        <w:tabs>
          <w:tab w:val="right" w:leader="dot" w:pos="8306"/>
        </w:tabs>
        <w:spacing w:line="578" w:lineRule="exact"/>
        <w:rPr>
          <w:rFonts w:hint="eastAsia" w:eastAsia="宋体"/>
          <w:color w:val="000000" w:themeColor="text1"/>
          <w:sz w:val="32"/>
          <w:szCs w:val="32"/>
          <w:lang w:eastAsia="zh-CN"/>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_Toc28253_WPSOffice_Level1 </w:instrText>
      </w:r>
      <w:r>
        <w:rPr>
          <w:color w:val="000000" w:themeColor="text1"/>
          <w:sz w:val="32"/>
          <w:szCs w:val="32"/>
          <w14:textFill>
            <w14:solidFill>
              <w14:schemeClr w14:val="tx1"/>
            </w14:solidFill>
          </w14:textFill>
        </w:rPr>
        <w:fldChar w:fldCharType="separate"/>
      </w:r>
      <w:r>
        <w:rPr>
          <w:rFonts w:hint="eastAsia" w:ascii="黑体" w:hAnsi="ˎ̥" w:eastAsia="黑体"/>
          <w:color w:val="000000" w:themeColor="text1"/>
          <w:sz w:val="32"/>
          <w:szCs w:val="32"/>
          <w14:textFill>
            <w14:solidFill>
              <w14:schemeClr w14:val="tx1"/>
            </w14:solidFill>
          </w14:textFill>
        </w:rPr>
        <w:t xml:space="preserve">第二部分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年度部门决算公开表</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fldChar w:fldCharType="end"/>
      </w:r>
      <w:r>
        <w:rPr>
          <w:rFonts w:hint="eastAsia"/>
          <w:color w:val="000000" w:themeColor="text1"/>
          <w:sz w:val="32"/>
          <w:szCs w:val="32"/>
          <w:lang w:val="en-US" w:eastAsia="zh-CN"/>
          <w14:textFill>
            <w14:solidFill>
              <w14:schemeClr w14:val="tx1"/>
            </w14:solidFill>
          </w14:textFill>
        </w:rPr>
        <w:t>4</w:t>
      </w:r>
    </w:p>
    <w:p>
      <w:pPr>
        <w:pStyle w:val="15"/>
        <w:tabs>
          <w:tab w:val="right" w:leader="dot" w:pos="8306"/>
        </w:tabs>
        <w:spacing w:line="578" w:lineRule="exact"/>
        <w:rPr>
          <w:rFonts w:hint="eastAsia" w:eastAsia="宋体"/>
          <w:color w:val="000000" w:themeColor="text1"/>
          <w:sz w:val="32"/>
          <w:szCs w:val="32"/>
          <w:lang w:eastAsia="zh-CN"/>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_Toc27590_WPSOffice_Level1 </w:instrText>
      </w:r>
      <w:r>
        <w:rPr>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w:t>
      </w:r>
      <w:r>
        <w:rPr>
          <w:rFonts w:hint="eastAsia"/>
          <w:color w:val="000000" w:themeColor="text1"/>
          <w:sz w:val="32"/>
          <w:szCs w:val="32"/>
          <w14:textFill>
            <w14:solidFill>
              <w14:schemeClr w14:val="tx1"/>
            </w14:solidFill>
          </w14:textFill>
        </w:rPr>
        <w:t xml:space="preserve">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年度部门决算情况说明</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fldChar w:fldCharType="end"/>
      </w:r>
      <w:r>
        <w:rPr>
          <w:rFonts w:hint="eastAsia"/>
          <w:color w:val="000000" w:themeColor="text1"/>
          <w:sz w:val="32"/>
          <w:szCs w:val="32"/>
          <w:lang w:val="en-US" w:eastAsia="zh-CN"/>
          <w14:textFill>
            <w14:solidFill>
              <w14:schemeClr w14:val="tx1"/>
            </w14:solidFill>
          </w14:textFill>
        </w:rPr>
        <w:t>5</w:t>
      </w:r>
    </w:p>
    <w:p>
      <w:pPr>
        <w:pStyle w:val="16"/>
        <w:tabs>
          <w:tab w:val="right" w:leader="dot" w:pos="8306"/>
        </w:tabs>
        <w:spacing w:line="578" w:lineRule="exact"/>
        <w:ind w:leftChars="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_Toc21737_WPSOffice_Level2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一、收入支出总体情况说明</w:t>
      </w:r>
      <w:bookmarkStart w:id="118" w:name="_GoBack"/>
      <w:bookmarkEnd w:id="118"/>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5</w:t>
      </w:r>
    </w:p>
    <w:p>
      <w:pPr>
        <w:pStyle w:val="16"/>
        <w:tabs>
          <w:tab w:val="right" w:leader="dot" w:pos="8306"/>
        </w:tabs>
        <w:spacing w:line="578" w:lineRule="exact"/>
        <w:ind w:leftChars="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6</w:t>
      </w:r>
    </w:p>
    <w:p>
      <w:pPr>
        <w:pStyle w:val="16"/>
        <w:tabs>
          <w:tab w:val="right" w:leader="dot" w:pos="8306"/>
        </w:tabs>
        <w:spacing w:line="578" w:lineRule="exact"/>
        <w:ind w:leftChars="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6</w:t>
      </w:r>
    </w:p>
    <w:p>
      <w:pPr>
        <w:pStyle w:val="16"/>
        <w:tabs>
          <w:tab w:val="right" w:leader="dot" w:pos="8306"/>
        </w:tabs>
        <w:spacing w:line="578" w:lineRule="exact"/>
        <w:ind w:leftChars="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四、财政拨款收入支出决算</w:t>
      </w:r>
      <w:r>
        <w:rPr>
          <w:rFonts w:hint="eastAsia" w:ascii="仿宋" w:hAnsi="仿宋" w:eastAsia="仿宋" w:cs="仿宋"/>
          <w:bCs/>
          <w:color w:val="000000" w:themeColor="text1"/>
          <w:sz w:val="32"/>
          <w:szCs w:val="32"/>
          <w:lang w:val="en-US" w:eastAsia="zh-CN"/>
          <w14:textFill>
            <w14:solidFill>
              <w14:schemeClr w14:val="tx1"/>
            </w14:solidFill>
          </w14:textFill>
        </w:rPr>
        <w:t>总体</w:t>
      </w:r>
      <w:r>
        <w:rPr>
          <w:rFonts w:hint="eastAsia" w:ascii="仿宋" w:hAnsi="仿宋" w:eastAsia="仿宋" w:cs="仿宋"/>
          <w:bCs/>
          <w:color w:val="000000" w:themeColor="text1"/>
          <w:sz w:val="32"/>
          <w:szCs w:val="32"/>
          <w14:textFill>
            <w14:solidFill>
              <w14:schemeClr w14:val="tx1"/>
            </w14:solidFill>
          </w14:textFill>
        </w:rPr>
        <w:t>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6</w:t>
      </w:r>
    </w:p>
    <w:p>
      <w:pPr>
        <w:pStyle w:val="16"/>
        <w:tabs>
          <w:tab w:val="right" w:leader="dot" w:pos="8306"/>
        </w:tabs>
        <w:spacing w:line="578" w:lineRule="exact"/>
        <w:ind w:leftChars="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7</w:t>
      </w:r>
    </w:p>
    <w:p>
      <w:pPr>
        <w:pStyle w:val="16"/>
        <w:tabs>
          <w:tab w:val="right" w:leader="dot" w:pos="8306"/>
        </w:tabs>
        <w:spacing w:line="578" w:lineRule="exact"/>
        <w:ind w:leftChars="0"/>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11</w:t>
      </w:r>
    </w:p>
    <w:p>
      <w:pPr>
        <w:pStyle w:val="16"/>
        <w:numPr>
          <w:ilvl w:val="0"/>
          <w:numId w:val="0"/>
        </w:numPr>
        <w:tabs>
          <w:tab w:val="right" w:leader="dot" w:pos="8306"/>
        </w:tabs>
        <w:spacing w:line="578" w:lineRule="exact"/>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Cs/>
          <w:color w:val="000000" w:themeColor="text1"/>
          <w:sz w:val="32"/>
          <w:szCs w:val="32"/>
          <w:lang w:val="en-US" w:eastAsia="zh-CN"/>
          <w14:textFill>
            <w14:solidFill>
              <w14:schemeClr w14:val="tx1"/>
            </w14:solidFill>
          </w14:textFill>
        </w:rPr>
        <w:t>七、</w:t>
      </w:r>
      <w:r>
        <w:rPr>
          <w:rFonts w:hint="eastAsia" w:ascii="仿宋" w:hAnsi="仿宋" w:eastAsia="仿宋" w:cs="仿宋"/>
          <w:bCs/>
          <w:color w:val="000000" w:themeColor="text1"/>
          <w:sz w:val="32"/>
          <w:szCs w:val="32"/>
          <w14:textFill>
            <w14:solidFill>
              <w14:schemeClr w14:val="tx1"/>
            </w14:solidFill>
          </w14:textFill>
        </w:rPr>
        <w:t>政府性基金预算财政拨款支出决算情况说明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12</w:t>
      </w:r>
    </w:p>
    <w:p>
      <w:pPr>
        <w:pStyle w:val="16"/>
        <w:numPr>
          <w:ilvl w:val="0"/>
          <w:numId w:val="0"/>
        </w:numPr>
        <w:tabs>
          <w:tab w:val="right" w:leader="dot" w:pos="8306"/>
        </w:tabs>
        <w:spacing w:line="578" w:lineRule="exact"/>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Cs/>
          <w:color w:val="000000" w:themeColor="text1"/>
          <w:sz w:val="32"/>
          <w:szCs w:val="32"/>
          <w:lang w:val="en-US" w:eastAsia="zh-CN"/>
          <w14:textFill>
            <w14:solidFill>
              <w14:schemeClr w14:val="tx1"/>
            </w14:solidFill>
          </w14:textFill>
        </w:rPr>
        <w:t>八、</w:t>
      </w:r>
      <w:r>
        <w:rPr>
          <w:rFonts w:hint="eastAsia" w:ascii="仿宋" w:hAnsi="仿宋" w:eastAsia="仿宋" w:cs="仿宋"/>
          <w:bCs/>
          <w:color w:val="000000" w:themeColor="text1"/>
          <w:sz w:val="32"/>
          <w:szCs w:val="32"/>
          <w14:textFill>
            <w14:solidFill>
              <w14:schemeClr w14:val="tx1"/>
            </w14:solidFill>
          </w14:textFill>
        </w:rPr>
        <w:t>国有资本经营预算财政拨款支出决算情况说明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14</w:t>
      </w:r>
    </w:p>
    <w:p>
      <w:pPr>
        <w:pStyle w:val="16"/>
        <w:tabs>
          <w:tab w:val="right" w:leader="dot" w:pos="8306"/>
        </w:tabs>
        <w:spacing w:line="578" w:lineRule="exact"/>
        <w:ind w:leftChars="0"/>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九、财政拨款“三公”经费支出决算情况说明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15</w:t>
      </w:r>
    </w:p>
    <w:p>
      <w:pPr>
        <w:pStyle w:val="16"/>
        <w:tabs>
          <w:tab w:val="right" w:leader="dot" w:pos="8306"/>
        </w:tabs>
        <w:spacing w:line="578" w:lineRule="exact"/>
        <w:ind w:leftChars="0"/>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十、预算绩效情况说明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16</w:t>
      </w:r>
    </w:p>
    <w:p>
      <w:pPr>
        <w:pStyle w:val="16"/>
        <w:numPr>
          <w:ilvl w:val="0"/>
          <w:numId w:val="0"/>
        </w:numPr>
        <w:tabs>
          <w:tab w:val="right" w:leader="dot" w:pos="8306"/>
        </w:tabs>
        <w:spacing w:line="578" w:lineRule="exact"/>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Cs/>
          <w:color w:val="000000" w:themeColor="text1"/>
          <w:sz w:val="32"/>
          <w:szCs w:val="32"/>
          <w:lang w:val="en-US" w:eastAsia="zh-CN"/>
          <w14:textFill>
            <w14:solidFill>
              <w14:schemeClr w14:val="tx1"/>
            </w14:solidFill>
          </w14:textFill>
        </w:rPr>
        <w:t>十一、</w:t>
      </w:r>
      <w:r>
        <w:rPr>
          <w:rFonts w:hint="eastAsia" w:ascii="仿宋" w:hAnsi="仿宋" w:eastAsia="仿宋" w:cs="仿宋"/>
          <w:bCs/>
          <w:color w:val="000000" w:themeColor="text1"/>
          <w:sz w:val="32"/>
          <w:szCs w:val="32"/>
          <w14:textFill>
            <w14:solidFill>
              <w14:schemeClr w14:val="tx1"/>
            </w14:solidFill>
          </w14:textFill>
        </w:rPr>
        <w:t>落实习惯过紧日子要求、保障重点支出情况说明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18</w:t>
      </w:r>
    </w:p>
    <w:p>
      <w:pPr>
        <w:pStyle w:val="16"/>
        <w:tabs>
          <w:tab w:val="right" w:leader="dot" w:pos="8306"/>
        </w:tabs>
        <w:spacing w:line="578" w:lineRule="exact"/>
        <w:ind w:leftChars="0"/>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十</w:t>
      </w:r>
      <w:r>
        <w:rPr>
          <w:rFonts w:hint="eastAsia" w:ascii="仿宋" w:hAnsi="仿宋" w:eastAsia="仿宋" w:cs="仿宋"/>
          <w:bCs/>
          <w:color w:val="000000" w:themeColor="text1"/>
          <w:sz w:val="32"/>
          <w:szCs w:val="32"/>
          <w:lang w:val="en-US" w:eastAsia="zh-CN"/>
          <w14:textFill>
            <w14:solidFill>
              <w14:schemeClr w14:val="tx1"/>
            </w14:solidFill>
          </w14:textFill>
        </w:rPr>
        <w:t>二</w:t>
      </w:r>
      <w:r>
        <w:rPr>
          <w:rFonts w:hint="eastAsia" w:ascii="仿宋" w:hAnsi="仿宋" w:eastAsia="仿宋" w:cs="仿宋"/>
          <w:bCs/>
          <w:color w:val="000000" w:themeColor="text1"/>
          <w:sz w:val="32"/>
          <w:szCs w:val="32"/>
          <w14:textFill>
            <w14:solidFill>
              <w14:schemeClr w14:val="tx1"/>
            </w14:solidFill>
          </w14:textFill>
        </w:rPr>
        <w:t>、其他重要事项情况说明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18</w:t>
      </w:r>
    </w:p>
    <w:p>
      <w:pPr>
        <w:pStyle w:val="15"/>
        <w:tabs>
          <w:tab w:val="right" w:leader="dot" w:pos="8306"/>
        </w:tabs>
        <w:spacing w:line="578" w:lineRule="exact"/>
        <w:rPr>
          <w:rFonts w:hint="eastAsia" w:ascii="黑体" w:hAnsi="ˎ̥" w:eastAsia="宋体"/>
          <w:b/>
          <w:color w:val="000000" w:themeColor="text1"/>
          <w:sz w:val="32"/>
          <w:szCs w:val="32"/>
          <w:lang w:val="en-US" w:eastAsia="zh-CN"/>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_Toc15425_WPSOffice_Level1 </w:instrText>
      </w:r>
      <w:r>
        <w:rPr>
          <w:color w:val="000000" w:themeColor="text1"/>
          <w:sz w:val="32"/>
          <w:szCs w:val="32"/>
          <w14:textFill>
            <w14:solidFill>
              <w14:schemeClr w14:val="tx1"/>
            </w14:solidFill>
          </w14:textFill>
        </w:rPr>
        <w:fldChar w:fldCharType="separate"/>
      </w:r>
      <w:r>
        <w:rPr>
          <w:rFonts w:hint="eastAsia" w:ascii="黑体" w:hAnsi="ˎ̥" w:eastAsia="黑体"/>
          <w:color w:val="000000" w:themeColor="text1"/>
          <w:sz w:val="32"/>
          <w:szCs w:val="32"/>
          <w14:textFill>
            <w14:solidFill>
              <w14:schemeClr w14:val="tx1"/>
            </w14:solidFill>
          </w14:textFill>
        </w:rPr>
        <w:t>第四部分  名词解释</w:t>
      </w:r>
      <w:r>
        <w:rPr>
          <w:color w:val="000000" w:themeColor="text1"/>
          <w:sz w:val="32"/>
          <w:szCs w:val="32"/>
          <w14:textFill>
            <w14:solidFill>
              <w14:schemeClr w14:val="tx1"/>
            </w14:solidFill>
          </w14:textFill>
        </w:rPr>
        <w:tab/>
      </w:r>
      <w:r>
        <w:rPr>
          <w:rFonts w:hint="eastAsia"/>
          <w:color w:val="000000" w:themeColor="text1"/>
          <w:sz w:val="32"/>
          <w:szCs w:val="32"/>
          <w:lang w:val="en-US" w:eastAsia="zh-CN"/>
          <w14:textFill>
            <w14:solidFill>
              <w14:schemeClr w14:val="tx1"/>
            </w14:solidFill>
          </w14:textFill>
        </w:rPr>
        <w:t>2</w:t>
      </w:r>
      <w:r>
        <w:rPr>
          <w:color w:val="000000" w:themeColor="text1"/>
          <w:sz w:val="32"/>
          <w:szCs w:val="32"/>
          <w14:textFill>
            <w14:solidFill>
              <w14:schemeClr w14:val="tx1"/>
            </w14:solidFill>
          </w14:textFill>
        </w:rPr>
        <w:fldChar w:fldCharType="end"/>
      </w:r>
      <w:bookmarkEnd w:id="0"/>
      <w:r>
        <w:rPr>
          <w:rFonts w:hint="eastAsia"/>
          <w:color w:val="000000" w:themeColor="text1"/>
          <w:sz w:val="32"/>
          <w:szCs w:val="32"/>
          <w:lang w:val="en-US" w:eastAsia="zh-CN"/>
          <w14:textFill>
            <w14:solidFill>
              <w14:schemeClr w14:val="tx1"/>
            </w14:solidFill>
          </w14:textFill>
        </w:rPr>
        <w:t>0</w:t>
      </w:r>
    </w:p>
    <w:p>
      <w:pPr>
        <w:spacing w:line="578" w:lineRule="exact"/>
        <w:jc w:val="both"/>
        <w:rPr>
          <w:rFonts w:hint="eastAsia" w:ascii="黑体" w:hAnsi="ˎ̥" w:eastAsia="黑体"/>
          <w:color w:val="000000" w:themeColor="text1"/>
          <w:sz w:val="32"/>
          <w:szCs w:val="32"/>
          <w14:textFill>
            <w14:solidFill>
              <w14:schemeClr w14:val="tx1"/>
            </w14:solidFill>
          </w14:textFill>
        </w:rPr>
      </w:pPr>
      <w:bookmarkStart w:id="1" w:name="_Toc32433_WPSOffice_Level1"/>
      <w:bookmarkStart w:id="2" w:name="_Toc1704_WPSOffice_Level1"/>
      <w:bookmarkStart w:id="3" w:name="_Toc23465_WPSOffice_Level1"/>
      <w:bookmarkStart w:id="4" w:name="_Toc10049_WPSOffice_Level1"/>
      <w:bookmarkStart w:id="5" w:name="_Toc10720_WPSOffice_Level1"/>
      <w:bookmarkStart w:id="6" w:name="_Toc22941_WPSOffice_Level1"/>
      <w:bookmarkStart w:id="7" w:name="_Toc24238_WPSOffice_Level2"/>
      <w:bookmarkStart w:id="8" w:name="_Toc14159_WPSOffice_Level2"/>
      <w:bookmarkStart w:id="9" w:name="_Toc20274_WPSOffice_Level2"/>
      <w:bookmarkStart w:id="10" w:name="_Toc20205_WPSOffice_Level2"/>
      <w:bookmarkStart w:id="11" w:name="_Toc32622_WPSOffice_Level2"/>
      <w:bookmarkStart w:id="12" w:name="_Toc26580_WPSOffice_Level2"/>
    </w:p>
    <w:p>
      <w:pPr>
        <w:spacing w:line="578" w:lineRule="exact"/>
        <w:jc w:val="center"/>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 xml:space="preserve">第一部分  </w:t>
      </w:r>
      <w:bookmarkEnd w:id="1"/>
      <w:bookmarkEnd w:id="2"/>
      <w:bookmarkEnd w:id="3"/>
      <w:bookmarkEnd w:id="4"/>
      <w:bookmarkEnd w:id="5"/>
      <w:bookmarkEnd w:id="6"/>
      <w:r>
        <w:rPr>
          <w:rFonts w:hint="eastAsia" w:ascii="黑体" w:hAnsi="ˎ̥" w:eastAsia="黑体"/>
          <w:color w:val="000000" w:themeColor="text1"/>
          <w:sz w:val="32"/>
          <w:szCs w:val="32"/>
          <w14:textFill>
            <w14:solidFill>
              <w14:schemeClr w14:val="tx1"/>
            </w14:solidFill>
          </w14:textFill>
        </w:rPr>
        <w:t>基本情况</w:t>
      </w:r>
    </w:p>
    <w:p>
      <w:pPr>
        <w:spacing w:line="578" w:lineRule="exact"/>
        <w:ind w:firstLine="640" w:firstLineChars="200"/>
        <w:rPr>
          <w:rFonts w:hint="eastAsia" w:ascii="楷体" w:hAnsi="楷体" w:eastAsia="楷体" w:cs="楷体"/>
          <w:color w:val="000000" w:themeColor="text1"/>
          <w:sz w:val="32"/>
          <w:szCs w:val="32"/>
          <w14:textFill>
            <w14:solidFill>
              <w14:schemeClr w14:val="tx1"/>
            </w14:solidFill>
          </w14:textFill>
        </w:rPr>
      </w:pPr>
    </w:p>
    <w:p>
      <w:pPr>
        <w:numPr>
          <w:ilvl w:val="0"/>
          <w:numId w:val="1"/>
        </w:numPr>
        <w:spacing w:line="578"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部门</w:t>
      </w:r>
      <w:bookmarkEnd w:id="7"/>
      <w:r>
        <w:rPr>
          <w:rFonts w:hint="eastAsia" w:ascii="黑体" w:hAnsi="黑体" w:eastAsia="黑体" w:cs="黑体"/>
          <w:color w:val="000000" w:themeColor="text1"/>
          <w:sz w:val="32"/>
          <w:szCs w:val="32"/>
          <w14:textFill>
            <w14:solidFill>
              <w14:schemeClr w14:val="tx1"/>
            </w14:solidFill>
          </w14:textFill>
        </w:rPr>
        <w:t>（单位）职责</w:t>
      </w:r>
      <w:bookmarkEnd w:id="8"/>
      <w:bookmarkEnd w:id="9"/>
      <w:bookmarkEnd w:id="10"/>
      <w:bookmarkEnd w:id="11"/>
      <w:bookmarkEnd w:id="12"/>
    </w:p>
    <w:p>
      <w:pPr>
        <w:ind w:left="17" w:leftChars="8" w:firstLine="617" w:firstLineChars="193"/>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海口市人力资源开发局（市就业局）是隶属于海口市人力资源和社会保障局的副处级单位，是承担政府行政职能的公共就业和人才服务工作机构，负责本市就业与再就业服务、职业技能培训、失业保险、人事劳动事务代理服务、市人力资源市场管理、职业指导和政策咨询等工作，为全市用工单位和劳动者提供各项公共就业和人才服务。</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根据海口市机构编制委员会《关于印发海口市人力资源开发局（海口市就业局）机构编制方案的通知》（海编【2006】67号）文件，海口市人力资源开发局核定的主要工作职责有：</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（一）贯彻执行国家和省有关人力资源开发和劳动就业的方针政策，组织实施我市人力资源开发和劳动就业工作。</w:t>
      </w:r>
    </w:p>
    <w:p>
      <w:pPr>
        <w:ind w:left="-10" w:leftChars="-5"/>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（二）负责全市就业与失业情况的监测，收集、统计、发布人才劳动力供求信息，提供人才交流和劳动就业的管理服务。</w:t>
      </w:r>
    </w:p>
    <w:p>
      <w:pPr>
        <w:ind w:left="-8" w:firstLine="8"/>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（三）负责市级人力资源市场的开发建设、运作和                管理，开展人才交流、职业介绍、择业指导、人事劳动事务代理等工作，指导各区人力资源市场的运作管理。</w:t>
      </w:r>
    </w:p>
    <w:p>
      <w:pPr>
        <w:ind w:left="-8" w:firstLine="8"/>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（四）组织实施劳动者就业前培训、高初中毕业生劳动预备役培训、下岗失业人员再就业培训、农村富余劳动力职业技能培训。</w:t>
      </w:r>
    </w:p>
    <w:p>
      <w:pPr>
        <w:ind w:left="-8" w:firstLine="8"/>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（五）负责市属企业单位空岗报告、招工备案、职工调动、失业和再就业登记、下岗失业人员档案保管等服务工作。</w:t>
      </w:r>
    </w:p>
    <w:p>
      <w:pPr>
        <w:ind w:left="-8" w:firstLine="7"/>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（六）负责全市失业人员的管理和服务工作，核定和支付失业保险金，提供再就业服务。</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（七）指导、协调大中专毕业生就业工作，协助有关部门做好留学回国人员就业和创业服务工作。</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（八）承担全市各类专业技术资格、职业资格的考试及职责范围内的职业技能鉴定等社会化人才评价服务工作。</w:t>
      </w:r>
    </w:p>
    <w:p>
      <w:pPr>
        <w:ind w:left="-10" w:firstLine="10"/>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（九）承办上级主管部门交办的其他工作。</w:t>
      </w:r>
    </w:p>
    <w:p>
      <w:pPr>
        <w:spacing w:line="578" w:lineRule="exact"/>
        <w:ind w:firstLine="640" w:firstLineChars="200"/>
        <w:rPr>
          <w:rFonts w:hint="eastAsia" w:ascii="黑体" w:hAnsi="黑体" w:eastAsia="黑体" w:cs="黑体"/>
          <w:color w:val="000000" w:themeColor="text1"/>
          <w:sz w:val="32"/>
          <w:szCs w:val="32"/>
          <w14:textFill>
            <w14:solidFill>
              <w14:schemeClr w14:val="tx1"/>
            </w14:solidFill>
          </w14:textFill>
        </w:rPr>
      </w:pPr>
      <w:bookmarkStart w:id="13" w:name="_Toc24059_WPSOffice_Level2"/>
      <w:bookmarkStart w:id="14" w:name="_Toc6572_WPSOffice_Level2"/>
      <w:bookmarkStart w:id="15" w:name="_Toc4833_WPSOffice_Level2"/>
      <w:bookmarkStart w:id="16" w:name="_Toc17796_WPSOffice_Level2"/>
      <w:bookmarkStart w:id="17" w:name="_Toc24474_WPSOffice_Level2"/>
      <w:r>
        <w:rPr>
          <w:rFonts w:hint="eastAsia" w:ascii="黑体" w:hAnsi="黑体" w:eastAsia="黑体" w:cs="黑体"/>
          <w:color w:val="000000" w:themeColor="text1"/>
          <w:sz w:val="32"/>
          <w:szCs w:val="32"/>
          <w14:textFill>
            <w14:solidFill>
              <w14:schemeClr w14:val="tx1"/>
            </w14:solidFill>
          </w14:textFill>
        </w:rPr>
        <w:t>二、机构设置</w:t>
      </w:r>
      <w:bookmarkEnd w:id="13"/>
      <w:bookmarkEnd w:id="14"/>
      <w:bookmarkEnd w:id="15"/>
      <w:bookmarkEnd w:id="16"/>
      <w:bookmarkEnd w:id="17"/>
    </w:p>
    <w:p>
      <w:pPr>
        <w:spacing w:line="578"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纳入</w:t>
      </w:r>
      <w:r>
        <w:rPr>
          <w:rFonts w:hint="eastAsia" w:ascii="仿宋_GB2312" w:hAnsi="ˎ̥" w:eastAsia="仿宋_GB2312"/>
          <w:color w:val="000000" w:themeColor="text1"/>
          <w:sz w:val="32"/>
          <w:szCs w:val="32"/>
          <w14:textFill>
            <w14:solidFill>
              <w14:schemeClr w14:val="tx1"/>
            </w14:solidFill>
          </w14:textFill>
        </w:rPr>
        <w:t>海口市人力资源开发局</w:t>
      </w: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年度部门决算编制范围的单位共</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个，包括：</w:t>
      </w:r>
    </w:p>
    <w:p>
      <w:pPr>
        <w:numPr>
          <w:ilvl w:val="0"/>
          <w:numId w:val="0"/>
        </w:numPr>
        <w:ind w:firstLine="640" w:firstLineChars="200"/>
        <w:rPr>
          <w:rFonts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海口市人力资源开发局本级</w:t>
      </w:r>
    </w:p>
    <w:p>
      <w:pPr>
        <w:spacing w:line="578" w:lineRule="exact"/>
        <w:jc w:val="center"/>
        <w:rPr>
          <w:rFonts w:hint="eastAsia" w:ascii="黑体" w:hAnsi="ˎ̥" w:eastAsia="黑体"/>
          <w:color w:val="000000" w:themeColor="text1"/>
          <w:sz w:val="32"/>
          <w:szCs w:val="32"/>
          <w14:textFill>
            <w14:solidFill>
              <w14:schemeClr w14:val="tx1"/>
            </w14:solidFill>
          </w14:textFill>
        </w:rPr>
      </w:pPr>
      <w:bookmarkStart w:id="18" w:name="_Toc15521_WPSOffice_Level1"/>
      <w:bookmarkStart w:id="19" w:name="_Toc30451_WPSOffice_Level1"/>
      <w:bookmarkStart w:id="20" w:name="_Toc28253_WPSOffice_Level1"/>
      <w:bookmarkStart w:id="21" w:name="_Toc30690_WPSOffice_Level1"/>
      <w:bookmarkStart w:id="22" w:name="_Toc8164_WPSOffice_Level1"/>
      <w:bookmarkStart w:id="23" w:name="_Toc6234_WPSOffice_Level1"/>
      <w:bookmarkStart w:id="24" w:name="_Toc8867_WPSOffice_Level2"/>
      <w:bookmarkStart w:id="25" w:name="_Toc32472_WPSOffice_Level2"/>
      <w:bookmarkStart w:id="26" w:name="_Toc6211_WPSOffice_Level2"/>
      <w:bookmarkStart w:id="27" w:name="_Toc11518_WPSOffice_Level2"/>
      <w:bookmarkStart w:id="28" w:name="_Toc32695_WPSOffice_Level2"/>
      <w:bookmarkStart w:id="29" w:name="_Toc4029_WPSOffice_Level2"/>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 xml:space="preserve">第二部分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年度部门决算公开报表</w:t>
      </w:r>
      <w:bookmarkEnd w:id="18"/>
      <w:bookmarkEnd w:id="19"/>
      <w:bookmarkEnd w:id="20"/>
      <w:bookmarkEnd w:id="21"/>
      <w:bookmarkEnd w:id="22"/>
      <w:bookmarkEnd w:id="23"/>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一、收入支出决算公开表</w:t>
      </w:r>
      <w:bookmarkEnd w:id="24"/>
      <w:bookmarkEnd w:id="25"/>
      <w:bookmarkEnd w:id="26"/>
      <w:bookmarkEnd w:id="27"/>
      <w:bookmarkEnd w:id="28"/>
      <w:bookmarkEnd w:id="29"/>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bookmarkStart w:id="30" w:name="_Toc14349_WPSOffice_Level2"/>
      <w:bookmarkStart w:id="31" w:name="_Toc25608_WPSOffice_Level2"/>
      <w:bookmarkStart w:id="32" w:name="_Toc26621_WPSOffice_Level2"/>
      <w:bookmarkStart w:id="33" w:name="_Toc28622_WPSOffice_Level2"/>
      <w:bookmarkStart w:id="34" w:name="_Toc30334_WPSOffice_Level2"/>
      <w:bookmarkStart w:id="35" w:name="_Toc23139_WPSOffice_Level2"/>
      <w:r>
        <w:rPr>
          <w:rFonts w:hint="eastAsia" w:ascii="黑体" w:hAnsi="黑体" w:eastAsia="黑体" w:cs="黑体"/>
          <w:color w:val="000000" w:themeColor="text1"/>
          <w:sz w:val="32"/>
          <w:szCs w:val="32"/>
          <w14:textFill>
            <w14:solidFill>
              <w14:schemeClr w14:val="tx1"/>
            </w14:solidFill>
          </w14:textFill>
        </w:rPr>
        <w:t>二、收入决算公开表</w:t>
      </w:r>
      <w:bookmarkEnd w:id="30"/>
      <w:bookmarkEnd w:id="31"/>
      <w:bookmarkEnd w:id="32"/>
      <w:bookmarkEnd w:id="33"/>
      <w:bookmarkEnd w:id="34"/>
      <w:bookmarkEnd w:id="35"/>
      <w:bookmarkStart w:id="36" w:name="_Toc17858_WPSOffice_Level2"/>
      <w:bookmarkStart w:id="37" w:name="_Toc5489_WPSOffice_Level2"/>
      <w:bookmarkStart w:id="38" w:name="_Toc17626_WPSOffice_Level2"/>
      <w:bookmarkStart w:id="39" w:name="_Toc3262_WPSOffice_Level2"/>
      <w:bookmarkStart w:id="40" w:name="_Toc13854_WPSOffice_Level2"/>
      <w:bookmarkStart w:id="41" w:name="_Toc14658_WPSOffice_Level2"/>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三、支出决算公开表</w:t>
      </w:r>
      <w:bookmarkEnd w:id="36"/>
      <w:bookmarkEnd w:id="37"/>
      <w:bookmarkEnd w:id="38"/>
      <w:bookmarkEnd w:id="39"/>
      <w:bookmarkEnd w:id="40"/>
      <w:bookmarkEnd w:id="41"/>
      <w:bookmarkStart w:id="42" w:name="_Toc7988_WPSOffice_Level2"/>
      <w:bookmarkStart w:id="43" w:name="_Toc4265_WPSOffice_Level2"/>
      <w:bookmarkStart w:id="44" w:name="_Toc23493_WPSOffice_Level2"/>
      <w:bookmarkStart w:id="45" w:name="_Toc21415_WPSOffice_Level2"/>
      <w:bookmarkStart w:id="46" w:name="_Toc13701_WPSOffice_Level2"/>
      <w:bookmarkStart w:id="47" w:name="_Toc23591_WPSOffice_Level2"/>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四、财政拨款收入支出决算公开表</w:t>
      </w:r>
      <w:bookmarkEnd w:id="42"/>
      <w:bookmarkEnd w:id="43"/>
      <w:bookmarkEnd w:id="44"/>
      <w:bookmarkEnd w:id="45"/>
      <w:bookmarkEnd w:id="46"/>
      <w:bookmarkEnd w:id="47"/>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bookmarkStart w:id="48" w:name="_Toc22783_WPSOffice_Level2"/>
      <w:bookmarkStart w:id="49" w:name="_Toc25166_WPSOffice_Level2"/>
      <w:bookmarkStart w:id="50" w:name="_Toc7879_WPSOffice_Level2"/>
      <w:bookmarkStart w:id="51" w:name="_Toc23829_WPSOffice_Level2"/>
      <w:bookmarkStart w:id="52" w:name="_Toc2158_WPSOffice_Level2"/>
      <w:bookmarkStart w:id="53" w:name="_Toc13516_WPSOffice_Level2"/>
      <w:r>
        <w:rPr>
          <w:rFonts w:hint="eastAsia" w:ascii="黑体" w:hAnsi="黑体" w:eastAsia="黑体" w:cs="黑体"/>
          <w:color w:val="000000" w:themeColor="text1"/>
          <w:sz w:val="32"/>
          <w:szCs w:val="32"/>
          <w14:textFill>
            <w14:solidFill>
              <w14:schemeClr w14:val="tx1"/>
            </w14:solidFill>
          </w14:textFill>
        </w:rPr>
        <w:t>五、一般公共预算财政拨款收入支出决算</w:t>
      </w:r>
      <w:bookmarkEnd w:id="48"/>
      <w:bookmarkEnd w:id="49"/>
      <w:bookmarkEnd w:id="50"/>
      <w:bookmarkEnd w:id="51"/>
      <w:r>
        <w:rPr>
          <w:rFonts w:hint="eastAsia" w:ascii="黑体" w:hAnsi="黑体" w:eastAsia="黑体" w:cs="黑体"/>
          <w:color w:val="000000" w:themeColor="text1"/>
          <w:sz w:val="32"/>
          <w:szCs w:val="32"/>
          <w14:textFill>
            <w14:solidFill>
              <w14:schemeClr w14:val="tx1"/>
            </w14:solidFill>
          </w14:textFill>
        </w:rPr>
        <w:t>公开表</w:t>
      </w:r>
      <w:bookmarkEnd w:id="52"/>
      <w:bookmarkEnd w:id="53"/>
      <w:bookmarkStart w:id="54" w:name="_Toc2632_WPSOffice_Level2"/>
      <w:bookmarkStart w:id="55" w:name="_Toc25362_WPSOffice_Level2"/>
      <w:bookmarkStart w:id="56" w:name="_Toc17283_WPSOffice_Level2"/>
      <w:bookmarkStart w:id="57" w:name="_Toc5343_WPSOffice_Level2"/>
      <w:bookmarkStart w:id="58" w:name="_Toc17833_WPSOffice_Level2"/>
      <w:bookmarkStart w:id="59" w:name="_Toc8373_WPSOffice_Level2"/>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六、一般公共预算财政拨款基本支出决算</w:t>
      </w:r>
      <w:bookmarkEnd w:id="54"/>
      <w:bookmarkEnd w:id="55"/>
      <w:bookmarkEnd w:id="56"/>
      <w:bookmarkEnd w:id="57"/>
      <w:bookmarkEnd w:id="58"/>
      <w:bookmarkEnd w:id="59"/>
      <w:r>
        <w:rPr>
          <w:rFonts w:hint="eastAsia" w:ascii="黑体" w:hAnsi="黑体" w:eastAsia="黑体" w:cs="黑体"/>
          <w:color w:val="000000" w:themeColor="text1"/>
          <w:sz w:val="32"/>
          <w:szCs w:val="32"/>
          <w14:textFill>
            <w14:solidFill>
              <w14:schemeClr w14:val="tx1"/>
            </w14:solidFill>
          </w14:textFill>
        </w:rPr>
        <w:t>公开表</w:t>
      </w:r>
    </w:p>
    <w:p>
      <w:pPr>
        <w:spacing w:line="578" w:lineRule="exact"/>
        <w:ind w:left="1118" w:leftChars="304" w:hanging="480" w:hangingChars="150"/>
        <w:rPr>
          <w:rFonts w:hint="eastAsia" w:ascii="黑体" w:hAnsi="黑体" w:eastAsia="黑体" w:cs="黑体"/>
          <w:color w:val="000000" w:themeColor="text1"/>
          <w:sz w:val="32"/>
          <w:szCs w:val="32"/>
          <w14:textFill>
            <w14:solidFill>
              <w14:schemeClr w14:val="tx1"/>
            </w14:solidFill>
          </w14:textFill>
        </w:rPr>
      </w:pPr>
      <w:bookmarkStart w:id="60" w:name="_Toc21310_WPSOffice_Level2"/>
      <w:bookmarkStart w:id="61" w:name="_Toc6020_WPSOffice_Level2"/>
      <w:bookmarkStart w:id="62" w:name="_Toc11799_WPSOffice_Level2"/>
      <w:bookmarkStart w:id="63" w:name="_Toc1533_WPSOffice_Level2"/>
      <w:bookmarkStart w:id="64" w:name="_Toc13345_WPSOffice_Level2"/>
      <w:bookmarkStart w:id="65" w:name="_Toc5594_WPSOffice_Level2"/>
      <w:r>
        <w:rPr>
          <w:rFonts w:hint="eastAsia" w:ascii="黑体" w:hAnsi="黑体" w:eastAsia="黑体" w:cs="黑体"/>
          <w:color w:val="000000" w:themeColor="text1"/>
          <w:sz w:val="32"/>
          <w:szCs w:val="32"/>
          <w14:textFill>
            <w14:solidFill>
              <w14:schemeClr w14:val="tx1"/>
            </w14:solidFill>
          </w14:textFill>
        </w:rPr>
        <w:t>七、政府性基金预算财政拨款收入支出决算</w:t>
      </w:r>
      <w:bookmarkEnd w:id="60"/>
      <w:bookmarkEnd w:id="61"/>
      <w:bookmarkEnd w:id="62"/>
      <w:bookmarkEnd w:id="63"/>
      <w:bookmarkEnd w:id="64"/>
      <w:bookmarkEnd w:id="65"/>
      <w:r>
        <w:rPr>
          <w:rFonts w:hint="eastAsia" w:ascii="黑体" w:hAnsi="黑体" w:eastAsia="黑体" w:cs="黑体"/>
          <w:color w:val="000000" w:themeColor="text1"/>
          <w:sz w:val="32"/>
          <w:szCs w:val="32"/>
          <w14:textFill>
            <w14:solidFill>
              <w14:schemeClr w14:val="tx1"/>
            </w14:solidFill>
          </w14:textFill>
        </w:rPr>
        <w:t>公开表</w:t>
      </w:r>
    </w:p>
    <w:p>
      <w:pPr>
        <w:spacing w:line="578" w:lineRule="exact"/>
        <w:ind w:left="1118" w:leftChars="304" w:hanging="480" w:hangingChars="15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八、国有资本经营预算财政拨款收入支出决算公开表</w:t>
      </w:r>
    </w:p>
    <w:p>
      <w:pPr>
        <w:spacing w:line="578" w:lineRule="exact"/>
        <w:ind w:firstLine="640"/>
        <w:rPr>
          <w:rFonts w:hint="eastAsia" w:ascii="黑体" w:hAnsi="黑体" w:eastAsia="黑体" w:cs="黑体"/>
          <w:color w:val="000000" w:themeColor="text1"/>
          <w:sz w:val="32"/>
          <w:szCs w:val="32"/>
          <w14:textFill>
            <w14:solidFill>
              <w14:schemeClr w14:val="tx1"/>
            </w14:solidFill>
          </w14:textFill>
        </w:rPr>
      </w:pPr>
      <w:bookmarkStart w:id="66" w:name="_Toc1820_WPSOffice_Level2"/>
      <w:bookmarkStart w:id="67" w:name="_Toc9377_WPSOffice_Level2"/>
      <w:bookmarkStart w:id="68" w:name="_Toc19961_WPSOffice_Level2"/>
      <w:bookmarkStart w:id="69" w:name="_Toc29886_WPSOffice_Level2"/>
      <w:r>
        <w:rPr>
          <w:rFonts w:hint="eastAsia" w:ascii="黑体" w:hAnsi="黑体" w:eastAsia="黑体" w:cs="黑体"/>
          <w:color w:val="000000" w:themeColor="text1"/>
          <w:sz w:val="32"/>
          <w:szCs w:val="32"/>
          <w14:textFill>
            <w14:solidFill>
              <w14:schemeClr w14:val="tx1"/>
            </w14:solidFill>
          </w14:textFill>
        </w:rPr>
        <w:t>九、财政拨款“三公”经费支出决算</w:t>
      </w:r>
      <w:bookmarkEnd w:id="66"/>
      <w:bookmarkEnd w:id="67"/>
      <w:bookmarkEnd w:id="68"/>
      <w:bookmarkEnd w:id="69"/>
      <w:r>
        <w:rPr>
          <w:rFonts w:hint="eastAsia" w:ascii="黑体" w:hAnsi="黑体" w:eastAsia="黑体" w:cs="黑体"/>
          <w:color w:val="000000" w:themeColor="text1"/>
          <w:sz w:val="32"/>
          <w:szCs w:val="32"/>
          <w14:textFill>
            <w14:solidFill>
              <w14:schemeClr w14:val="tx1"/>
            </w14:solidFill>
          </w14:textFill>
        </w:rPr>
        <w:t>公开表</w:t>
      </w:r>
    </w:p>
    <w:p>
      <w:pPr>
        <w:spacing w:line="578" w:lineRule="exact"/>
        <w:ind w:firstLine="640"/>
        <w:rPr>
          <w:rFonts w:hint="eastAsia" w:ascii="仿宋" w:hAnsi="仿宋" w:eastAsia="仿宋" w:cs="仿宋"/>
          <w:color w:val="000000" w:themeColor="text1"/>
          <w:w w:val="100"/>
          <w:sz w:val="32"/>
          <w:szCs w:val="32"/>
          <w14:textFill>
            <w14:solidFill>
              <w14:schemeClr w14:val="tx1"/>
            </w14:solidFill>
          </w14:textFill>
        </w:rPr>
      </w:pPr>
      <w:r>
        <w:rPr>
          <w:rFonts w:hint="eastAsia" w:ascii="仿宋" w:hAnsi="仿宋" w:eastAsia="仿宋" w:cs="仿宋"/>
          <w:color w:val="000000" w:themeColor="text1"/>
          <w:w w:val="100"/>
          <w:sz w:val="32"/>
          <w:szCs w:val="32"/>
          <w14:textFill>
            <w14:solidFill>
              <w14:schemeClr w14:val="tx1"/>
            </w14:solidFill>
          </w14:textFill>
        </w:rPr>
        <w:t xml:space="preserve">以上报表见附件1。   </w:t>
      </w:r>
    </w:p>
    <w:p>
      <w:pPr>
        <w:spacing w:line="578" w:lineRule="exact"/>
        <w:rPr>
          <w:rFonts w:hint="eastAsia" w:ascii="黑体" w:hAnsi="黑体" w:eastAsia="黑体" w:cs="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bookmarkStart w:id="70" w:name="_Toc27590_WPSOffice_Level1"/>
      <w:bookmarkStart w:id="71" w:name="_Toc31264_WPSOffice_Level1"/>
      <w:bookmarkStart w:id="72" w:name="_Toc16686_WPSOffice_Level1"/>
      <w:bookmarkStart w:id="73" w:name="_Toc29683_WPSOffice_Level1"/>
      <w:bookmarkStart w:id="74" w:name="_Toc4402_WPSOffice_Level1"/>
      <w:bookmarkStart w:id="75" w:name="_Toc28629_WPSOffice_Level1"/>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 xml:space="preserve">第三部分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年度部门决算情况说明</w:t>
      </w:r>
      <w:bookmarkEnd w:id="70"/>
      <w:bookmarkEnd w:id="71"/>
      <w:bookmarkEnd w:id="72"/>
      <w:bookmarkEnd w:id="73"/>
      <w:bookmarkEnd w:id="74"/>
      <w:bookmarkEnd w:id="75"/>
    </w:p>
    <w:p>
      <w:pPr>
        <w:spacing w:line="578" w:lineRule="exact"/>
        <w:jc w:val="center"/>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收入支出总体情况说明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年度收入总计</w:t>
      </w:r>
      <w:r>
        <w:rPr>
          <w:rFonts w:hint="eastAsia" w:ascii="仿宋" w:hAnsi="仿宋" w:eastAsia="仿宋" w:cs="仿宋"/>
          <w:color w:val="000000" w:themeColor="text1"/>
          <w:sz w:val="32"/>
          <w:szCs w:val="32"/>
          <w:lang w:val="en-US"/>
          <w14:textFill>
            <w14:solidFill>
              <w14:schemeClr w14:val="tx1"/>
            </w14:solidFill>
          </w14:textFill>
        </w:rPr>
        <w:t>5,339.64</w:t>
      </w:r>
      <w:r>
        <w:rPr>
          <w:rFonts w:hint="eastAsia" w:ascii="仿宋" w:hAnsi="仿宋" w:eastAsia="仿宋" w:cs="仿宋"/>
          <w:color w:val="000000" w:themeColor="text1"/>
          <w:sz w:val="32"/>
          <w:szCs w:val="32"/>
          <w14:textFill>
            <w14:solidFill>
              <w14:schemeClr w14:val="tx1"/>
            </w14:solidFill>
          </w14:textFill>
        </w:rPr>
        <w:t>万元，支出总计</w:t>
      </w:r>
      <w:r>
        <w:rPr>
          <w:rFonts w:hint="eastAsia" w:ascii="仿宋" w:hAnsi="仿宋" w:eastAsia="仿宋" w:cs="仿宋"/>
          <w:color w:val="000000" w:themeColor="text1"/>
          <w:sz w:val="32"/>
          <w:szCs w:val="32"/>
          <w:lang w:val="en-US"/>
          <w14:textFill>
            <w14:solidFill>
              <w14:schemeClr w14:val="tx1"/>
            </w14:solidFill>
          </w14:textFill>
        </w:rPr>
        <w:t>5,339.64</w:t>
      </w:r>
      <w:r>
        <w:rPr>
          <w:rFonts w:hint="eastAsia" w:ascii="仿宋" w:hAnsi="仿宋" w:eastAsia="仿宋" w:cs="仿宋"/>
          <w:color w:val="000000" w:themeColor="text1"/>
          <w:sz w:val="32"/>
          <w:szCs w:val="32"/>
          <w14:textFill>
            <w14:solidFill>
              <w14:schemeClr w14:val="tx1"/>
            </w14:solidFill>
          </w14:textFill>
        </w:rPr>
        <w:t>万元，与</w:t>
      </w:r>
      <w:r>
        <w:rPr>
          <w:rFonts w:hint="eastAsia" w:ascii="仿宋" w:hAnsi="仿宋" w:eastAsia="仿宋" w:cs="仿宋"/>
          <w:color w:val="000000" w:themeColor="text1"/>
          <w:sz w:val="32"/>
          <w:szCs w:val="32"/>
          <w:lang w:val="en-US"/>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年度相比，收入、支出总计各减少</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195.76</w:t>
      </w:r>
      <w:r>
        <w:rPr>
          <w:rFonts w:hint="eastAsia" w:ascii="仿宋" w:hAnsi="仿宋" w:eastAsia="仿宋" w:cs="仿宋"/>
          <w:color w:val="000000" w:themeColor="text1"/>
          <w:sz w:val="32"/>
          <w:szCs w:val="32"/>
          <w14:textFill>
            <w14:solidFill>
              <w14:schemeClr w14:val="tx1"/>
            </w14:solidFill>
          </w14:textFill>
        </w:rPr>
        <w:t>万元，增长下降</w:t>
      </w:r>
      <w:r>
        <w:rPr>
          <w:rFonts w:hint="eastAsia" w:ascii="仿宋" w:hAnsi="仿宋" w:eastAsia="仿宋" w:cs="仿宋"/>
          <w:color w:val="000000" w:themeColor="text1"/>
          <w:sz w:val="32"/>
          <w:szCs w:val="32"/>
          <w:lang w:val="en-US" w:eastAsia="zh-CN"/>
          <w14:textFill>
            <w14:solidFill>
              <w14:schemeClr w14:val="tx1"/>
            </w14:solidFill>
          </w14:textFill>
        </w:rPr>
        <w:t>49.32</w:t>
      </w:r>
      <w:r>
        <w:rPr>
          <w:rFonts w:hint="eastAsia" w:ascii="仿宋" w:hAnsi="仿宋" w:eastAsia="仿宋" w:cs="仿宋"/>
          <w:color w:val="000000" w:themeColor="text1"/>
          <w:sz w:val="32"/>
          <w:szCs w:val="32"/>
          <w14:textFill>
            <w14:solidFill>
              <w14:schemeClr w14:val="tx1"/>
            </w14:solidFill>
          </w14:textFill>
        </w:rPr>
        <w:t>%。主要原因：一般公共预算财政拨款收入为</w:t>
      </w:r>
      <w:r>
        <w:rPr>
          <w:rFonts w:hint="eastAsia" w:ascii="仿宋_GB2312" w:hAnsi="ˎ̥" w:eastAsia="仿宋_GB2312"/>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lang w:val="en-US"/>
          <w14:textFill>
            <w14:solidFill>
              <w14:schemeClr w14:val="tx1"/>
            </w14:solidFill>
          </w14:textFill>
        </w:rPr>
        <w:t>,</w:t>
      </w:r>
      <w:r>
        <w:rPr>
          <w:rFonts w:hint="eastAsia" w:ascii="仿宋_GB2312" w:hAnsi="ˎ̥" w:eastAsia="仿宋_GB2312"/>
          <w:color w:val="000000" w:themeColor="text1"/>
          <w:sz w:val="32"/>
          <w:szCs w:val="32"/>
          <w:lang w:val="en-US" w:eastAsia="zh-CN"/>
          <w14:textFill>
            <w14:solidFill>
              <w14:schemeClr w14:val="tx1"/>
            </w14:solidFill>
          </w14:textFill>
        </w:rPr>
        <w:t>338.84</w:t>
      </w:r>
      <w:r>
        <w:rPr>
          <w:rFonts w:hint="eastAsia" w:ascii="仿宋" w:hAnsi="仿宋" w:eastAsia="仿宋" w:cs="仿宋"/>
          <w:color w:val="000000" w:themeColor="text1"/>
          <w:sz w:val="32"/>
          <w:szCs w:val="32"/>
          <w14:textFill>
            <w14:solidFill>
              <w14:schemeClr w14:val="tx1"/>
            </w14:solidFill>
          </w14:textFill>
        </w:rPr>
        <w:t>万元，较</w:t>
      </w:r>
      <w:r>
        <w:rPr>
          <w:rFonts w:hint="eastAsia" w:ascii="仿宋" w:hAnsi="仿宋" w:eastAsia="仿宋" w:cs="仿宋"/>
          <w:color w:val="000000" w:themeColor="text1"/>
          <w:sz w:val="32"/>
          <w:szCs w:val="32"/>
          <w:lang w:val="en-US" w:eastAsia="zh-CN"/>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年一般公共预算财政拨款收入</w:t>
      </w:r>
      <w:r>
        <w:rPr>
          <w:rFonts w:hint="eastAsia" w:ascii="仿宋_GB2312" w:hAnsi="ˎ̥" w:eastAsia="仿宋_GB2312"/>
          <w:color w:val="000000" w:themeColor="text1"/>
          <w:sz w:val="32"/>
          <w:szCs w:val="32"/>
          <w:lang w:val="en-US" w:eastAsia="zh-CN"/>
          <w14:textFill>
            <w14:solidFill>
              <w14:schemeClr w14:val="tx1"/>
            </w14:solidFill>
          </w14:textFill>
        </w:rPr>
        <w:t>10,535.60</w:t>
      </w:r>
      <w:r>
        <w:rPr>
          <w:rFonts w:hint="eastAsia" w:ascii="仿宋" w:hAnsi="仿宋" w:eastAsia="仿宋" w:cs="仿宋"/>
          <w:color w:val="000000" w:themeColor="text1"/>
          <w:sz w:val="32"/>
          <w:szCs w:val="32"/>
          <w14:textFill>
            <w14:solidFill>
              <w14:schemeClr w14:val="tx1"/>
            </w14:solidFill>
          </w14:textFill>
        </w:rPr>
        <w:t>万元相</w:t>
      </w:r>
      <w:r>
        <w:rPr>
          <w:rFonts w:hint="eastAsia" w:ascii="仿宋" w:hAnsi="仿宋" w:eastAsia="仿宋" w:cs="仿宋"/>
          <w:color w:val="000000" w:themeColor="text1"/>
          <w:sz w:val="32"/>
          <w:szCs w:val="32"/>
          <w:lang w:eastAsia="zh-CN"/>
          <w14:textFill>
            <w14:solidFill>
              <w14:schemeClr w14:val="tx1"/>
            </w14:solidFill>
          </w14:textFill>
        </w:rPr>
        <w:t>减少</w:t>
      </w:r>
      <w:r>
        <w:rPr>
          <w:rFonts w:hint="eastAsia" w:ascii="仿宋" w:hAnsi="仿宋" w:eastAsia="仿宋" w:cs="仿宋"/>
          <w:color w:val="000000" w:themeColor="text1"/>
          <w:sz w:val="32"/>
          <w:szCs w:val="32"/>
          <w14:textFill>
            <w14:solidFill>
              <w14:schemeClr w14:val="tx1"/>
            </w14:solidFill>
          </w14:textFill>
        </w:rPr>
        <w:t>近</w:t>
      </w:r>
      <w:r>
        <w:rPr>
          <w:rFonts w:hint="eastAsia" w:ascii="仿宋" w:hAnsi="仿宋" w:eastAsia="仿宋" w:cs="仿宋"/>
          <w:color w:val="000000" w:themeColor="text1"/>
          <w:sz w:val="32"/>
          <w:szCs w:val="32"/>
          <w:lang w:val="en-US" w:eastAsia="zh-CN"/>
          <w14:textFill>
            <w14:solidFill>
              <w14:schemeClr w14:val="tx1"/>
            </w14:solidFill>
          </w14:textFill>
        </w:rPr>
        <w:t>5,196.76</w:t>
      </w:r>
      <w:r>
        <w:rPr>
          <w:rFonts w:hint="eastAsia" w:ascii="仿宋" w:hAnsi="仿宋" w:eastAsia="仿宋" w:cs="仿宋"/>
          <w:color w:val="000000" w:themeColor="text1"/>
          <w:sz w:val="32"/>
          <w:szCs w:val="32"/>
          <w14:textFill>
            <w14:solidFill>
              <w14:schemeClr w14:val="tx1"/>
            </w14:solidFill>
          </w14:textFill>
        </w:rPr>
        <w:t>万元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导致202</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年收入总体</w:t>
      </w:r>
      <w:r>
        <w:rPr>
          <w:rFonts w:hint="eastAsia" w:ascii="仿宋" w:hAnsi="仿宋" w:eastAsia="仿宋" w:cs="仿宋"/>
          <w:color w:val="000000" w:themeColor="text1"/>
          <w:sz w:val="32"/>
          <w:szCs w:val="32"/>
          <w:lang w:eastAsia="zh-CN"/>
          <w14:textFill>
            <w14:solidFill>
              <w14:schemeClr w14:val="tx1"/>
            </w14:solidFill>
          </w14:textFill>
        </w:rPr>
        <w:t>减少</w:t>
      </w:r>
      <w:r>
        <w:rPr>
          <w:rFonts w:hint="eastAsia" w:ascii="仿宋" w:hAnsi="仿宋" w:eastAsia="仿宋" w:cs="仿宋"/>
          <w:color w:val="000000" w:themeColor="text1"/>
          <w:sz w:val="32"/>
          <w:szCs w:val="32"/>
          <w:lang w:val="en-US" w:eastAsia="zh-CN"/>
          <w14:textFill>
            <w14:solidFill>
              <w14:schemeClr w14:val="tx1"/>
            </w14:solidFill>
          </w14:textFill>
        </w:rPr>
        <w:t>;社会保障和就业支出为5,194.63万元，</w:t>
      </w:r>
      <w:r>
        <w:rPr>
          <w:rFonts w:hint="eastAsia" w:ascii="仿宋" w:hAnsi="仿宋" w:eastAsia="仿宋" w:cs="仿宋"/>
          <w:color w:val="000000" w:themeColor="text1"/>
          <w:sz w:val="32"/>
          <w:szCs w:val="32"/>
          <w14:textFill>
            <w14:solidFill>
              <w14:schemeClr w14:val="tx1"/>
            </w14:solidFill>
          </w14:textFill>
        </w:rPr>
        <w:t>较</w:t>
      </w:r>
      <w:r>
        <w:rPr>
          <w:rFonts w:hint="eastAsia" w:ascii="仿宋" w:hAnsi="仿宋" w:eastAsia="仿宋" w:cs="仿宋"/>
          <w:color w:val="000000" w:themeColor="text1"/>
          <w:sz w:val="32"/>
          <w:szCs w:val="32"/>
          <w:lang w:val="en-US" w:eastAsia="zh-CN"/>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社会保障和就业支出10,392.64</w:t>
      </w:r>
      <w:r>
        <w:rPr>
          <w:rFonts w:hint="eastAsia" w:ascii="仿宋" w:hAnsi="仿宋" w:eastAsia="仿宋" w:cs="仿宋"/>
          <w:color w:val="000000" w:themeColor="text1"/>
          <w:sz w:val="32"/>
          <w:szCs w:val="32"/>
          <w14:textFill>
            <w14:solidFill>
              <w14:schemeClr w14:val="tx1"/>
            </w14:solidFill>
          </w14:textFill>
        </w:rPr>
        <w:t>万元</w:t>
      </w:r>
      <w:r>
        <w:rPr>
          <w:rFonts w:hint="eastAsia" w:ascii="仿宋" w:hAnsi="仿宋" w:eastAsia="仿宋" w:cs="仿宋"/>
          <w:color w:val="000000" w:themeColor="text1"/>
          <w:sz w:val="32"/>
          <w:szCs w:val="32"/>
          <w:lang w:eastAsia="zh-CN"/>
          <w14:textFill>
            <w14:solidFill>
              <w14:schemeClr w14:val="tx1"/>
            </w14:solidFill>
          </w14:textFill>
        </w:rPr>
        <w:t>减少</w:t>
      </w:r>
      <w:r>
        <w:rPr>
          <w:rFonts w:hint="eastAsia" w:ascii="仿宋" w:hAnsi="仿宋" w:eastAsia="仿宋" w:cs="仿宋"/>
          <w:color w:val="000000" w:themeColor="text1"/>
          <w:sz w:val="32"/>
          <w:szCs w:val="32"/>
          <w14:textFill>
            <w14:solidFill>
              <w14:schemeClr w14:val="tx1"/>
            </w14:solidFill>
          </w14:textFill>
        </w:rPr>
        <w:t>近</w:t>
      </w:r>
      <w:r>
        <w:rPr>
          <w:rFonts w:hint="eastAsia" w:ascii="仿宋" w:hAnsi="仿宋" w:eastAsia="仿宋" w:cs="仿宋"/>
          <w:color w:val="000000" w:themeColor="text1"/>
          <w:sz w:val="32"/>
          <w:szCs w:val="32"/>
          <w:lang w:val="en-US" w:eastAsia="zh-CN"/>
          <w14:textFill>
            <w14:solidFill>
              <w14:schemeClr w14:val="tx1"/>
            </w14:solidFill>
          </w14:textFill>
        </w:rPr>
        <w:t>5,198.01</w:t>
      </w:r>
      <w:r>
        <w:rPr>
          <w:rFonts w:hint="eastAsia" w:ascii="仿宋" w:hAnsi="仿宋" w:eastAsia="仿宋" w:cs="仿宋"/>
          <w:color w:val="000000" w:themeColor="text1"/>
          <w:sz w:val="32"/>
          <w:szCs w:val="32"/>
          <w14:textFill>
            <w14:solidFill>
              <w14:schemeClr w14:val="tx1"/>
            </w14:solidFill>
          </w14:textFill>
        </w:rPr>
        <w:t>万元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导致202</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lang w:eastAsia="zh-CN"/>
          <w14:textFill>
            <w14:solidFill>
              <w14:schemeClr w14:val="tx1"/>
            </w14:solidFill>
          </w14:textFill>
        </w:rPr>
        <w:t>支出</w:t>
      </w:r>
      <w:r>
        <w:rPr>
          <w:rFonts w:hint="eastAsia" w:ascii="仿宋" w:hAnsi="仿宋" w:eastAsia="仿宋" w:cs="仿宋"/>
          <w:color w:val="000000" w:themeColor="text1"/>
          <w:sz w:val="32"/>
          <w:szCs w:val="32"/>
          <w14:textFill>
            <w14:solidFill>
              <w14:schemeClr w14:val="tx1"/>
            </w14:solidFill>
          </w14:textFill>
        </w:rPr>
        <w:t>总体</w:t>
      </w:r>
      <w:r>
        <w:rPr>
          <w:rFonts w:hint="eastAsia" w:ascii="仿宋" w:hAnsi="仿宋" w:eastAsia="仿宋" w:cs="仿宋"/>
          <w:color w:val="000000" w:themeColor="text1"/>
          <w:sz w:val="32"/>
          <w:szCs w:val="32"/>
          <w:lang w:eastAsia="zh-CN"/>
          <w14:textFill>
            <w14:solidFill>
              <w14:schemeClr w14:val="tx1"/>
            </w14:solidFill>
          </w14:textFill>
        </w:rPr>
        <w:t>减少</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（一</w:t>
      </w:r>
      <w:r>
        <w:rPr>
          <w:rFonts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14:textFill>
            <w14:solidFill>
              <w14:schemeClr w14:val="tx1"/>
            </w14:solidFill>
          </w14:textFill>
        </w:rPr>
        <w:t>收入</w:t>
      </w:r>
      <w:r>
        <w:rPr>
          <w:rFonts w:ascii="楷体" w:hAnsi="楷体" w:eastAsia="楷体" w:cs="楷体"/>
          <w:color w:val="000000" w:themeColor="text1"/>
          <w:sz w:val="32"/>
          <w:szCs w:val="32"/>
          <w14:textFill>
            <w14:solidFill>
              <w14:schemeClr w14:val="tx1"/>
            </w14:solidFill>
          </w14:textFill>
        </w:rPr>
        <w:t>总计</w:t>
      </w:r>
      <w:r>
        <w:rPr>
          <w:rFonts w:hint="eastAsia" w:ascii="楷体" w:hAnsi="楷体" w:eastAsia="楷体" w:cs="楷体"/>
          <w:color w:val="000000" w:themeColor="text1"/>
          <w:sz w:val="32"/>
          <w:szCs w:val="32"/>
          <w14:textFill>
            <w14:solidFill>
              <w14:schemeClr w14:val="tx1"/>
            </w14:solidFill>
          </w14:textFill>
        </w:rPr>
        <w:t>主要</w:t>
      </w:r>
      <w:r>
        <w:rPr>
          <w:rFonts w:ascii="楷体" w:hAnsi="楷体" w:eastAsia="楷体" w:cs="楷体"/>
          <w:color w:val="000000" w:themeColor="text1"/>
          <w:sz w:val="32"/>
          <w:szCs w:val="32"/>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本年收入</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使用非财政拨款结余（含专用结余）</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万元，较202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年度决算数增加（减少）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0" w:firstLineChars="200"/>
        <w:rPr>
          <w:rFonts w:ascii="仿宋_GB2312" w:hAnsi="ˎ̥" w:eastAsia="仿宋_GB2312"/>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年初结转结余</w:t>
      </w:r>
      <w:r>
        <w:rPr>
          <w:rFonts w:hint="eastAsia" w:ascii="仿宋" w:hAnsi="仿宋" w:eastAsia="仿宋" w:cs="仿宋"/>
          <w:color w:val="000000" w:themeColor="text1"/>
          <w:sz w:val="32"/>
          <w:szCs w:val="32"/>
          <w:highlight w:val="none"/>
          <w:lang w:val="en-US" w:eastAsia="zh-CN"/>
          <w14:textFill>
            <w14:solidFill>
              <w14:schemeClr w14:val="tx1"/>
            </w14:solidFill>
          </w14:textFill>
        </w:rPr>
        <w:t>0.8</w:t>
      </w:r>
      <w:r>
        <w:rPr>
          <w:rFonts w:hint="eastAsia" w:ascii="仿宋" w:hAnsi="仿宋" w:eastAsia="仿宋" w:cs="仿宋"/>
          <w:color w:val="000000" w:themeColor="text1"/>
          <w:sz w:val="32"/>
          <w:szCs w:val="32"/>
          <w:highlight w:val="none"/>
          <w14:textFill>
            <w14:solidFill>
              <w14:schemeClr w14:val="tx1"/>
            </w14:solidFill>
          </w14:textFill>
        </w:rPr>
        <w:t>万元，主要是</w:t>
      </w:r>
      <w:r>
        <w:rPr>
          <w:rFonts w:hint="eastAsia" w:ascii="仿宋" w:hAnsi="仿宋" w:eastAsia="仿宋" w:cs="仿宋"/>
          <w:color w:val="000000" w:themeColor="text1"/>
          <w:sz w:val="32"/>
          <w:szCs w:val="32"/>
          <w:highlight w:val="none"/>
          <w:lang w:eastAsia="zh-CN"/>
          <w14:textFill>
            <w14:solidFill>
              <w14:schemeClr w14:val="tx1"/>
            </w14:solidFill>
          </w14:textFill>
        </w:rPr>
        <w:t>省就业局拨付创业大赛奖励金</w:t>
      </w:r>
      <w:r>
        <w:rPr>
          <w:rFonts w:hint="eastAsia" w:ascii="仿宋" w:hAnsi="仿宋" w:eastAsia="仿宋" w:cs="仿宋"/>
          <w:color w:val="000000" w:themeColor="text1"/>
          <w:sz w:val="32"/>
          <w:szCs w:val="32"/>
          <w:highlight w:val="none"/>
          <w14:textFill>
            <w14:solidFill>
              <w14:schemeClr w14:val="tx1"/>
            </w14:solidFill>
          </w14:textFill>
        </w:rPr>
        <w:t>，较202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年度决算数增加（减少）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万元，增长（下降）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%，主要原因年初结转结余</w:t>
      </w:r>
      <w:r>
        <w:rPr>
          <w:rFonts w:hint="eastAsia" w:ascii="仿宋" w:hAnsi="仿宋" w:eastAsia="仿宋" w:cs="仿宋"/>
          <w:color w:val="000000" w:themeColor="text1"/>
          <w:sz w:val="32"/>
          <w:szCs w:val="32"/>
          <w:highlight w:val="none"/>
          <w:lang w:eastAsia="zh-CN"/>
          <w14:textFill>
            <w14:solidFill>
              <w14:schemeClr w14:val="tx1"/>
            </w14:solidFill>
          </w14:textFill>
        </w:rPr>
        <w:t>较上年无变化</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w:t>
      </w:r>
      <w:r>
        <w:rPr>
          <w:rFonts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14:textFill>
            <w14:solidFill>
              <w14:schemeClr w14:val="tx1"/>
            </w14:solidFill>
          </w14:textFill>
        </w:rPr>
        <w:t>支出</w:t>
      </w:r>
      <w:r>
        <w:rPr>
          <w:rFonts w:ascii="楷体" w:hAnsi="楷体" w:eastAsia="楷体" w:cs="楷体"/>
          <w:color w:val="000000" w:themeColor="text1"/>
          <w:sz w:val="32"/>
          <w:szCs w:val="32"/>
          <w14:textFill>
            <w14:solidFill>
              <w14:schemeClr w14:val="tx1"/>
            </w14:solidFill>
          </w14:textFill>
        </w:rPr>
        <w:t>总计</w:t>
      </w:r>
      <w:r>
        <w:rPr>
          <w:rFonts w:hint="eastAsia" w:ascii="楷体" w:hAnsi="楷体" w:eastAsia="楷体" w:cs="楷体"/>
          <w:color w:val="000000" w:themeColor="text1"/>
          <w:sz w:val="32"/>
          <w:szCs w:val="32"/>
          <w14:textFill>
            <w14:solidFill>
              <w14:schemeClr w14:val="tx1"/>
            </w14:solidFill>
          </w14:textFill>
        </w:rPr>
        <w:t>主要</w:t>
      </w:r>
      <w:r>
        <w:rPr>
          <w:rFonts w:ascii="楷体" w:hAnsi="楷体" w:eastAsia="楷体" w:cs="楷体"/>
          <w:color w:val="000000" w:themeColor="text1"/>
          <w:sz w:val="32"/>
          <w:szCs w:val="32"/>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本年支出</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结余分配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万元，主要是</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（资金分配去向），较202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年度决算数增加（减少）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万元，增长（下降）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无结余分配</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年末结转结余</w:t>
      </w:r>
      <w:r>
        <w:rPr>
          <w:rFonts w:hint="eastAsia" w:ascii="仿宋" w:hAnsi="仿宋" w:eastAsia="仿宋" w:cs="仿宋"/>
          <w:color w:val="000000" w:themeColor="text1"/>
          <w:sz w:val="32"/>
          <w:szCs w:val="32"/>
          <w:lang w:val="en-US"/>
          <w14:textFill>
            <w14:solidFill>
              <w14:schemeClr w14:val="tx1"/>
            </w14:solidFill>
          </w14:textFill>
        </w:rPr>
        <w:t>0.80</w:t>
      </w:r>
      <w:r>
        <w:rPr>
          <w:rFonts w:hint="eastAsia" w:ascii="仿宋" w:hAnsi="仿宋" w:eastAsia="仿宋" w:cs="仿宋"/>
          <w:color w:val="000000" w:themeColor="text1"/>
          <w:sz w:val="32"/>
          <w:szCs w:val="32"/>
          <w14:textFill>
            <w14:solidFill>
              <w14:schemeClr w14:val="tx1"/>
            </w14:solidFill>
          </w14:textFill>
        </w:rPr>
        <w:t>万元，主</w:t>
      </w:r>
      <w:r>
        <w:rPr>
          <w:rFonts w:hint="eastAsia" w:ascii="仿宋" w:hAnsi="仿宋" w:eastAsia="仿宋" w:cs="仿宋"/>
          <w:color w:val="000000" w:themeColor="text1"/>
          <w:sz w:val="32"/>
          <w:szCs w:val="32"/>
          <w:highlight w:val="none"/>
          <w14:textFill>
            <w14:solidFill>
              <w14:schemeClr w14:val="tx1"/>
            </w14:solidFill>
          </w14:textFill>
        </w:rPr>
        <w:t>主要是是</w:t>
      </w:r>
      <w:r>
        <w:rPr>
          <w:rFonts w:hint="eastAsia" w:ascii="仿宋" w:hAnsi="仿宋" w:eastAsia="仿宋" w:cs="仿宋"/>
          <w:color w:val="000000" w:themeColor="text1"/>
          <w:sz w:val="32"/>
          <w:szCs w:val="32"/>
          <w:highlight w:val="none"/>
          <w:lang w:eastAsia="zh-CN"/>
          <w14:textFill>
            <w14:solidFill>
              <w14:schemeClr w14:val="tx1"/>
            </w14:solidFill>
          </w14:textFill>
        </w:rPr>
        <w:t>省就业局拨付创业大赛奖励金</w:t>
      </w:r>
      <w:r>
        <w:rPr>
          <w:rFonts w:hint="eastAsia" w:ascii="仿宋" w:hAnsi="仿宋" w:eastAsia="仿宋" w:cs="仿宋"/>
          <w:color w:val="000000" w:themeColor="text1"/>
          <w:sz w:val="32"/>
          <w:szCs w:val="32"/>
          <w:highlight w:val="none"/>
          <w14:textFill>
            <w14:solidFill>
              <w14:schemeClr w14:val="tx1"/>
            </w14:solidFill>
          </w14:textFill>
        </w:rPr>
        <w:t>，较202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年度决算数增加（减少）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万元，增长（下降）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较上年</w:t>
      </w:r>
      <w:r>
        <w:rPr>
          <w:rFonts w:hint="eastAsia" w:ascii="仿宋" w:hAnsi="仿宋" w:eastAsia="仿宋" w:cs="仿宋"/>
          <w:color w:val="000000" w:themeColor="text1"/>
          <w:sz w:val="32"/>
          <w:szCs w:val="32"/>
          <w:highlight w:val="none"/>
          <w14:textFill>
            <w14:solidFill>
              <w14:schemeClr w14:val="tx1"/>
            </w14:solidFill>
          </w14:textFill>
        </w:rPr>
        <w:t>结转结余</w:t>
      </w:r>
      <w:r>
        <w:rPr>
          <w:rFonts w:hint="eastAsia" w:ascii="仿宋" w:hAnsi="仿宋" w:eastAsia="仿宋" w:cs="仿宋"/>
          <w:color w:val="000000" w:themeColor="text1"/>
          <w:sz w:val="32"/>
          <w:szCs w:val="32"/>
          <w:highlight w:val="none"/>
          <w:lang w:eastAsia="zh-CN"/>
          <w14:textFill>
            <w14:solidFill>
              <w14:schemeClr w14:val="tx1"/>
            </w14:solidFill>
          </w14:textFill>
        </w:rPr>
        <w:t>无变化</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收入决算情况说明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本年收入</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万元，其中：财政拨款收入</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%；上级补助收入</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%；事业收入</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%；经营收入</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%；附属单位上缴收入</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%；其他收入</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本年支出</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万元，其中：基本支出</w:t>
      </w:r>
      <w:r>
        <w:rPr>
          <w:rFonts w:hint="eastAsia" w:ascii="仿宋" w:hAnsi="仿宋" w:eastAsia="仿宋" w:cs="仿宋"/>
          <w:color w:val="000000" w:themeColor="text1"/>
          <w:sz w:val="32"/>
          <w:szCs w:val="32"/>
          <w:lang w:val="en-US"/>
          <w14:textFill>
            <w14:solidFill>
              <w14:schemeClr w14:val="tx1"/>
            </w14:solidFill>
          </w14:textFill>
        </w:rPr>
        <w:t>931.29</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17.44</w:t>
      </w:r>
      <w:r>
        <w:rPr>
          <w:rFonts w:hint="eastAsia" w:ascii="仿宋" w:hAnsi="仿宋" w:eastAsia="仿宋" w:cs="仿宋"/>
          <w:color w:val="000000" w:themeColor="text1"/>
          <w:sz w:val="32"/>
          <w:szCs w:val="32"/>
          <w14:textFill>
            <w14:solidFill>
              <w14:schemeClr w14:val="tx1"/>
            </w14:solidFill>
          </w14:textFill>
        </w:rPr>
        <w:t>%；项目支出</w:t>
      </w:r>
      <w:r>
        <w:rPr>
          <w:rFonts w:hint="eastAsia" w:ascii="仿宋" w:hAnsi="仿宋" w:eastAsia="仿宋" w:cs="仿宋"/>
          <w:color w:val="000000" w:themeColor="text1"/>
          <w:sz w:val="32"/>
          <w:szCs w:val="32"/>
          <w:lang w:val="en-US"/>
          <w14:textFill>
            <w14:solidFill>
              <w14:schemeClr w14:val="tx1"/>
            </w14:solidFill>
          </w14:textFill>
        </w:rPr>
        <w:t>4,407.55</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82.56</w:t>
      </w:r>
      <w:r>
        <w:rPr>
          <w:rFonts w:hint="eastAsia" w:ascii="仿宋" w:hAnsi="仿宋" w:eastAsia="仿宋" w:cs="仿宋"/>
          <w:color w:val="000000" w:themeColor="text1"/>
          <w:sz w:val="32"/>
          <w:szCs w:val="32"/>
          <w14:textFill>
            <w14:solidFill>
              <w14:schemeClr w14:val="tx1"/>
            </w14:solidFill>
          </w14:textFill>
        </w:rPr>
        <w:t>%；上缴上级支出</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%；经营支出</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%；对附属单位补助支出</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年度财政拨款收入</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万元，支出</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万元。与</w:t>
      </w:r>
      <w:r>
        <w:rPr>
          <w:rFonts w:hint="eastAsia" w:ascii="仿宋" w:hAnsi="仿宋" w:eastAsia="仿宋" w:cs="仿宋"/>
          <w:color w:val="000000" w:themeColor="text1"/>
          <w:sz w:val="32"/>
          <w:szCs w:val="32"/>
          <w:lang w:val="en-US"/>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年度相比，财政拨款收入减少</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196.76</w:t>
      </w:r>
      <w:r>
        <w:rPr>
          <w:rFonts w:hint="eastAsia" w:ascii="仿宋" w:hAnsi="仿宋" w:eastAsia="仿宋" w:cs="仿宋"/>
          <w:color w:val="000000" w:themeColor="text1"/>
          <w:sz w:val="32"/>
          <w:szCs w:val="32"/>
          <w14:textFill>
            <w14:solidFill>
              <w14:schemeClr w14:val="tx1"/>
            </w14:solidFill>
          </w14:textFill>
        </w:rPr>
        <w:t>万元，下降</w:t>
      </w:r>
      <w:r>
        <w:rPr>
          <w:rFonts w:hint="eastAsia" w:ascii="仿宋" w:hAnsi="仿宋" w:eastAsia="仿宋" w:cs="仿宋"/>
          <w:color w:val="000000" w:themeColor="text1"/>
          <w:sz w:val="32"/>
          <w:szCs w:val="32"/>
          <w:lang w:val="en-US" w:eastAsia="zh-CN"/>
          <w14:textFill>
            <w14:solidFill>
              <w14:schemeClr w14:val="tx1"/>
            </w14:solidFill>
          </w14:textFill>
        </w:rPr>
        <w:t>49.32</w:t>
      </w:r>
      <w:r>
        <w:rPr>
          <w:rFonts w:hint="eastAsia" w:ascii="仿宋" w:hAnsi="仿宋" w:eastAsia="仿宋" w:cs="仿宋"/>
          <w:color w:val="000000" w:themeColor="text1"/>
          <w:sz w:val="32"/>
          <w:szCs w:val="32"/>
          <w14:textFill>
            <w14:solidFill>
              <w14:schemeClr w14:val="tx1"/>
            </w14:solidFill>
          </w14:textFill>
        </w:rPr>
        <w:t>%，主要原因：</w:t>
      </w:r>
      <w:r>
        <w:rPr>
          <w:rFonts w:hint="eastAsia" w:ascii="仿宋_GB2312" w:hAnsi="ˎ̥" w:eastAsia="仿宋_GB2312"/>
          <w:color w:val="000000" w:themeColor="text1"/>
          <w:sz w:val="32"/>
          <w:szCs w:val="32"/>
          <w:lang w:eastAsia="zh-CN"/>
          <w14:textFill>
            <w14:solidFill>
              <w14:schemeClr w14:val="tx1"/>
            </w14:solidFill>
          </w14:textFill>
        </w:rPr>
        <w:t>一般共公共预算</w:t>
      </w:r>
      <w:r>
        <w:rPr>
          <w:rFonts w:hint="eastAsia" w:ascii="仿宋_GB2312" w:hAnsi="ˎ̥" w:eastAsia="仿宋_GB2312"/>
          <w:color w:val="000000" w:themeColor="text1"/>
          <w:sz w:val="32"/>
          <w:szCs w:val="32"/>
          <w:lang w:val="en-US" w:eastAsia="zh-CN"/>
          <w14:textFill>
            <w14:solidFill>
              <w14:schemeClr w14:val="tx1"/>
            </w14:solidFill>
          </w14:textFill>
        </w:rPr>
        <w:t>财政拨款收入减少</w:t>
      </w:r>
      <w:r>
        <w:rPr>
          <w:rFonts w:hint="eastAsia" w:ascii="仿宋" w:hAnsi="仿宋" w:eastAsia="仿宋" w:cs="仿宋"/>
          <w:color w:val="000000" w:themeColor="text1"/>
          <w:sz w:val="32"/>
          <w:szCs w:val="32"/>
          <w14:textFill>
            <w14:solidFill>
              <w14:schemeClr w14:val="tx1"/>
            </w14:solidFill>
          </w14:textFill>
        </w:rPr>
        <w:t>。支出减少</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196.76</w:t>
      </w:r>
      <w:r>
        <w:rPr>
          <w:rFonts w:hint="eastAsia" w:ascii="仿宋" w:hAnsi="仿宋" w:eastAsia="仿宋" w:cs="仿宋"/>
          <w:color w:val="000000" w:themeColor="text1"/>
          <w:sz w:val="32"/>
          <w:szCs w:val="32"/>
          <w14:textFill>
            <w14:solidFill>
              <w14:schemeClr w14:val="tx1"/>
            </w14:solidFill>
          </w14:textFill>
        </w:rPr>
        <w:t>万元，下降</w:t>
      </w:r>
      <w:r>
        <w:rPr>
          <w:rFonts w:hint="eastAsia" w:ascii="仿宋" w:hAnsi="仿宋" w:eastAsia="仿宋" w:cs="仿宋"/>
          <w:color w:val="000000" w:themeColor="text1"/>
          <w:sz w:val="32"/>
          <w:szCs w:val="32"/>
          <w:lang w:val="en-US" w:eastAsia="zh-CN"/>
          <w14:textFill>
            <w14:solidFill>
              <w14:schemeClr w14:val="tx1"/>
            </w14:solidFill>
          </w14:textFill>
        </w:rPr>
        <w:t>49.33</w:t>
      </w:r>
      <w:r>
        <w:rPr>
          <w:rFonts w:hint="eastAsia" w:ascii="仿宋" w:hAnsi="仿宋" w:eastAsia="仿宋" w:cs="仿宋"/>
          <w:color w:val="000000" w:themeColor="text1"/>
          <w:sz w:val="32"/>
          <w:szCs w:val="32"/>
          <w14:textFill>
            <w14:solidFill>
              <w14:schemeClr w14:val="tx1"/>
            </w14:solidFill>
          </w14:textFill>
        </w:rPr>
        <w:t>%，主要原因：</w:t>
      </w:r>
      <w:r>
        <w:rPr>
          <w:rFonts w:hint="eastAsia" w:ascii="仿宋_GB2312" w:hAnsi="ˎ̥" w:eastAsia="仿宋_GB2312"/>
          <w:color w:val="000000" w:themeColor="text1"/>
          <w:sz w:val="32"/>
          <w:szCs w:val="32"/>
          <w:lang w:eastAsia="zh-CN"/>
          <w14:textFill>
            <w14:solidFill>
              <w14:schemeClr w14:val="tx1"/>
            </w14:solidFill>
          </w14:textFill>
        </w:rPr>
        <w:t>一般共公共预算</w:t>
      </w:r>
      <w:r>
        <w:rPr>
          <w:rFonts w:hint="eastAsia" w:ascii="仿宋_GB2312" w:hAnsi="ˎ̥" w:eastAsia="仿宋_GB2312"/>
          <w:color w:val="000000" w:themeColor="text1"/>
          <w:sz w:val="32"/>
          <w:szCs w:val="32"/>
          <w:lang w:val="en-US" w:eastAsia="zh-CN"/>
          <w14:textFill>
            <w14:solidFill>
              <w14:schemeClr w14:val="tx1"/>
            </w14:solidFill>
          </w14:textFill>
        </w:rPr>
        <w:t>财政拨款收入减少</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财政拨款年初结转结余</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万元，主要是</w:t>
      </w:r>
      <w:r>
        <w:rPr>
          <w:rFonts w:hint="eastAsia" w:ascii="仿宋" w:hAnsi="仿宋" w:eastAsia="仿宋" w:cs="仿宋"/>
          <w:color w:val="000000" w:themeColor="text1"/>
          <w:sz w:val="32"/>
          <w:szCs w:val="32"/>
          <w:lang w:eastAsia="zh-CN"/>
          <w14:textFill>
            <w14:solidFill>
              <w14:schemeClr w14:val="tx1"/>
            </w14:solidFill>
          </w14:textFill>
        </w:rPr>
        <w:t>无</w:t>
      </w:r>
      <w:r>
        <w:rPr>
          <w:rFonts w:hint="eastAsia" w:ascii="仿宋" w:hAnsi="仿宋" w:eastAsia="仿宋" w:cs="仿宋"/>
          <w:color w:val="000000" w:themeColor="text1"/>
          <w:sz w:val="32"/>
          <w:szCs w:val="32"/>
          <w14:textFill>
            <w14:solidFill>
              <w14:schemeClr w14:val="tx1"/>
            </w14:solidFill>
          </w14:textFill>
        </w:rPr>
        <w:t>，较</w:t>
      </w:r>
      <w:r>
        <w:rPr>
          <w:rFonts w:hint="eastAsia" w:ascii="仿宋" w:hAnsi="仿宋" w:eastAsia="仿宋" w:cs="仿宋"/>
          <w:color w:val="000000" w:themeColor="text1"/>
          <w:sz w:val="32"/>
          <w:szCs w:val="32"/>
          <w:lang w:val="en-US"/>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年度决算数增加（减少）</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万元，增长（下降）</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%，主要原因是</w:t>
      </w:r>
      <w:r>
        <w:rPr>
          <w:rFonts w:hint="eastAsia" w:ascii="仿宋" w:hAnsi="仿宋" w:eastAsia="仿宋" w:cs="仿宋"/>
          <w:color w:val="000000" w:themeColor="text1"/>
          <w:sz w:val="32"/>
          <w:szCs w:val="32"/>
          <w:lang w:eastAsia="zh-CN"/>
          <w14:textFill>
            <w14:solidFill>
              <w14:schemeClr w14:val="tx1"/>
            </w14:solidFill>
          </w14:textFill>
        </w:rPr>
        <w:t>无</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财政拨款年末结转结余</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万元，主要是</w:t>
      </w:r>
      <w:r>
        <w:rPr>
          <w:rFonts w:hint="eastAsia" w:ascii="仿宋" w:hAnsi="仿宋" w:eastAsia="仿宋" w:cs="仿宋"/>
          <w:color w:val="000000" w:themeColor="text1"/>
          <w:sz w:val="32"/>
          <w:szCs w:val="32"/>
          <w:lang w:eastAsia="zh-CN"/>
          <w14:textFill>
            <w14:solidFill>
              <w14:schemeClr w14:val="tx1"/>
            </w14:solidFill>
          </w14:textFill>
        </w:rPr>
        <w:t>无</w:t>
      </w:r>
      <w:r>
        <w:rPr>
          <w:rFonts w:hint="eastAsia" w:ascii="仿宋" w:hAnsi="仿宋" w:eastAsia="仿宋" w:cs="仿宋"/>
          <w:color w:val="000000" w:themeColor="text1"/>
          <w:sz w:val="32"/>
          <w:szCs w:val="32"/>
          <w14:textFill>
            <w14:solidFill>
              <w14:schemeClr w14:val="tx1"/>
            </w14:solidFill>
          </w14:textFill>
        </w:rPr>
        <w:t>，较</w:t>
      </w:r>
      <w:r>
        <w:rPr>
          <w:rFonts w:hint="eastAsia" w:ascii="仿宋" w:hAnsi="仿宋" w:eastAsia="仿宋" w:cs="仿宋"/>
          <w:color w:val="000000" w:themeColor="text1"/>
          <w:sz w:val="32"/>
          <w:szCs w:val="32"/>
          <w:lang w:val="en-US"/>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年度决算数增加（减少）</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万元，增长（下降）</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%，主要原因是</w:t>
      </w:r>
      <w:r>
        <w:rPr>
          <w:rFonts w:hint="eastAsia" w:ascii="仿宋" w:hAnsi="仿宋" w:eastAsia="仿宋" w:cs="仿宋"/>
          <w:color w:val="000000" w:themeColor="text1"/>
          <w:sz w:val="32"/>
          <w:szCs w:val="32"/>
          <w:lang w:eastAsia="zh-CN"/>
          <w14:textFill>
            <w14:solidFill>
              <w14:schemeClr w14:val="tx1"/>
            </w14:solidFill>
          </w14:textFill>
        </w:rPr>
        <w:t>无</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76" w:name="_Toc9989_WPSOffice_Level2"/>
      <w:bookmarkStart w:id="77" w:name="_Toc23005_WPSOffice_Level2"/>
      <w:bookmarkStart w:id="78" w:name="_Toc19665_WPSOffice_Level2"/>
      <w:bookmarkStart w:id="79" w:name="_Toc13694_WPSOffice_Level2"/>
      <w:bookmarkStart w:id="80" w:name="_Toc17398_WPSOffice_Level2"/>
      <w:bookmarkStart w:id="81" w:name="_Toc21737_WPSOffice_Level2"/>
      <w:r>
        <w:rPr>
          <w:rFonts w:hint="eastAsia" w:ascii="楷体" w:hAnsi="楷体" w:eastAsia="楷体" w:cs="楷体"/>
          <w:color w:val="000000" w:themeColor="text1"/>
          <w:sz w:val="32"/>
          <w:szCs w:val="32"/>
          <w14:textFill>
            <w14:solidFill>
              <w14:schemeClr w14:val="tx1"/>
            </w14:solidFill>
          </w14:textFill>
        </w:rPr>
        <w:t>（一）一般公共预算财政拨款支出决算总体情况</w:t>
      </w:r>
      <w:bookmarkEnd w:id="76"/>
      <w:bookmarkEnd w:id="77"/>
      <w:bookmarkEnd w:id="78"/>
      <w:bookmarkEnd w:id="79"/>
      <w:bookmarkEnd w:id="80"/>
      <w:bookmarkEnd w:id="81"/>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年度一般公共预算财政拨款支出</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万元，占本年支出合计的</w:t>
      </w:r>
      <w:r>
        <w:rPr>
          <w:rFonts w:hint="eastAsia" w:ascii="仿宋" w:hAnsi="仿宋" w:eastAsia="仿宋" w:cs="仿宋"/>
          <w:color w:val="000000" w:themeColor="text1"/>
          <w:sz w:val="32"/>
          <w:szCs w:val="32"/>
          <w:lang w:val="en-US" w:eastAsia="zh-CN"/>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%。与</w:t>
      </w:r>
      <w:r>
        <w:rPr>
          <w:rFonts w:hint="eastAsia" w:ascii="仿宋" w:hAnsi="仿宋" w:eastAsia="仿宋" w:cs="仿宋"/>
          <w:color w:val="000000" w:themeColor="text1"/>
          <w:sz w:val="32"/>
          <w:szCs w:val="32"/>
          <w:lang w:val="en-US"/>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年度相比，一般公共预算财政拨款支出减少</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196.76</w:t>
      </w:r>
      <w:r>
        <w:rPr>
          <w:rFonts w:hint="eastAsia" w:ascii="仿宋" w:hAnsi="仿宋" w:eastAsia="仿宋" w:cs="仿宋"/>
          <w:color w:val="000000" w:themeColor="text1"/>
          <w:sz w:val="32"/>
          <w:szCs w:val="32"/>
          <w14:textFill>
            <w14:solidFill>
              <w14:schemeClr w14:val="tx1"/>
            </w14:solidFill>
          </w14:textFill>
        </w:rPr>
        <w:t>万元，下降</w:t>
      </w:r>
      <w:r>
        <w:rPr>
          <w:rFonts w:hint="eastAsia" w:ascii="仿宋" w:hAnsi="仿宋" w:eastAsia="仿宋" w:cs="仿宋"/>
          <w:color w:val="000000" w:themeColor="text1"/>
          <w:sz w:val="32"/>
          <w:szCs w:val="32"/>
          <w:lang w:val="en-US" w:eastAsia="zh-CN"/>
          <w14:textFill>
            <w14:solidFill>
              <w14:schemeClr w14:val="tx1"/>
            </w14:solidFill>
          </w14:textFill>
        </w:rPr>
        <w:t>49.33</w:t>
      </w:r>
      <w:r>
        <w:rPr>
          <w:rFonts w:hint="eastAsia" w:ascii="仿宋" w:hAnsi="仿宋" w:eastAsia="仿宋" w:cs="仿宋"/>
          <w:color w:val="000000" w:themeColor="text1"/>
          <w:sz w:val="32"/>
          <w:szCs w:val="32"/>
          <w14:textFill>
            <w14:solidFill>
              <w14:schemeClr w14:val="tx1"/>
            </w14:solidFill>
          </w14:textFill>
        </w:rPr>
        <w:t>%，主要原因是</w:t>
      </w:r>
      <w:r>
        <w:rPr>
          <w:rFonts w:hint="eastAsia" w:ascii="仿宋" w:hAnsi="仿宋" w:eastAsia="仿宋" w:cs="仿宋"/>
          <w:color w:val="000000" w:themeColor="text1"/>
          <w:sz w:val="32"/>
          <w:szCs w:val="32"/>
          <w:highlight w:val="none"/>
          <w14:textFill>
            <w14:solidFill>
              <w14:schemeClr w14:val="tx1"/>
            </w14:solidFill>
          </w14:textFill>
        </w:rPr>
        <w:t>一般公共预算财政拨款支出</w:t>
      </w:r>
      <w:r>
        <w:rPr>
          <w:rFonts w:hint="eastAsia" w:ascii="仿宋" w:hAnsi="仿宋" w:eastAsia="仿宋" w:cs="仿宋"/>
          <w:color w:val="000000" w:themeColor="text1"/>
          <w:sz w:val="32"/>
          <w:szCs w:val="32"/>
          <w:highlight w:val="none"/>
          <w:lang w:eastAsia="zh-CN"/>
          <w14:textFill>
            <w14:solidFill>
              <w14:schemeClr w14:val="tx1"/>
            </w14:solidFill>
          </w14:textFill>
        </w:rPr>
        <w:t>减少</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82" w:name="_Toc23864_WPSOffice_Level2"/>
      <w:bookmarkStart w:id="83" w:name="_Toc19075_WPSOffice_Level2"/>
      <w:bookmarkStart w:id="84" w:name="_Toc18793_WPSOffice_Level2"/>
      <w:bookmarkStart w:id="85" w:name="_Toc2711_WPSOffice_Level2"/>
      <w:bookmarkStart w:id="86" w:name="_Toc27767_WPSOffice_Level2"/>
      <w:bookmarkStart w:id="87" w:name="_Toc19535_WPSOffice_Level2"/>
      <w:r>
        <w:rPr>
          <w:rFonts w:hint="eastAsia" w:ascii="楷体" w:hAnsi="楷体" w:eastAsia="楷体" w:cs="楷体"/>
          <w:color w:val="000000" w:themeColor="text1"/>
          <w:sz w:val="32"/>
          <w:szCs w:val="32"/>
          <w14:textFill>
            <w14:solidFill>
              <w14:schemeClr w14:val="tx1"/>
            </w14:solidFill>
          </w14:textFill>
        </w:rPr>
        <w:t>（二）一般公共预算财政拨款支出决算结构情况</w:t>
      </w:r>
      <w:bookmarkEnd w:id="82"/>
      <w:bookmarkEnd w:id="83"/>
      <w:bookmarkEnd w:id="84"/>
      <w:bookmarkEnd w:id="85"/>
      <w:bookmarkEnd w:id="86"/>
      <w:bookmarkEnd w:id="87"/>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年度一般公共预算财政拨款支出</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万元，主要用于以下方面：</w:t>
      </w:r>
      <w:r>
        <w:rPr>
          <w:rFonts w:hint="eastAsia" w:ascii="仿宋" w:hAnsi="仿宋" w:eastAsia="仿宋" w:cs="仿宋"/>
          <w:b/>
          <w:color w:val="000000" w:themeColor="text1"/>
          <w:sz w:val="32"/>
          <w:szCs w:val="32"/>
          <w:highlight w:val="none"/>
          <w14:textFill>
            <w14:solidFill>
              <w14:schemeClr w14:val="tx1"/>
            </w14:solidFill>
          </w14:textFill>
        </w:rPr>
        <w:t>一般公共服务（类）</w:t>
      </w:r>
      <w:r>
        <w:rPr>
          <w:rFonts w:hint="eastAsia" w:ascii="仿宋" w:hAnsi="仿宋" w:eastAsia="仿宋" w:cs="仿宋"/>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b/>
          <w:color w:val="000000" w:themeColor="text1"/>
          <w:sz w:val="32"/>
          <w:szCs w:val="32"/>
          <w:highlight w:val="none"/>
          <w14:textFill>
            <w14:solidFill>
              <w14:schemeClr w14:val="tx1"/>
            </w14:solidFill>
          </w14:textFill>
        </w:rPr>
        <w:t>社会保障和就业（类）</w:t>
      </w:r>
      <w:r>
        <w:rPr>
          <w:rFonts w:hint="eastAsia" w:ascii="仿宋" w:hAnsi="仿宋" w:eastAsia="仿宋" w:cs="仿宋"/>
          <w:color w:val="000000" w:themeColor="text1"/>
          <w:sz w:val="32"/>
          <w:szCs w:val="32"/>
          <w:highlight w:val="none"/>
          <w14:textFill>
            <w14:solidFill>
              <w14:schemeClr w14:val="tx1"/>
            </w14:solidFill>
          </w14:textFill>
        </w:rPr>
        <w:t>支出5</w:t>
      </w:r>
      <w:r>
        <w:rPr>
          <w:rFonts w:hint="eastAsia"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194.63万元，占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97.3</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卫生健康支出</w:t>
      </w:r>
      <w:r>
        <w:rPr>
          <w:rFonts w:hint="eastAsia" w:ascii="仿宋" w:hAnsi="仿宋" w:eastAsia="仿宋" w:cs="仿宋"/>
          <w:b/>
          <w:bCs/>
          <w:color w:val="000000" w:themeColor="text1"/>
          <w:sz w:val="32"/>
          <w:szCs w:val="32"/>
          <w:highlight w:val="none"/>
          <w:lang w:eastAsia="zh-CN"/>
          <w14:textFill>
            <w14:solidFill>
              <w14:schemeClr w14:val="tx1"/>
            </w14:solidFill>
          </w14:textFill>
        </w:rPr>
        <w:t>（类）</w:t>
      </w:r>
      <w:r>
        <w:rPr>
          <w:rFonts w:hint="eastAsia" w:ascii="仿宋" w:hAnsi="仿宋" w:eastAsia="仿宋" w:cs="仿宋"/>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81.2</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1.52</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_GB2312" w:hAnsi="ˎ̥" w:eastAsia="仿宋_GB2312"/>
          <w:b/>
          <w:bCs/>
          <w:color w:val="000000" w:themeColor="text1"/>
          <w:sz w:val="32"/>
          <w:szCs w:val="32"/>
          <w14:textFill>
            <w14:solidFill>
              <w14:schemeClr w14:val="tx1"/>
            </w14:solidFill>
          </w14:textFill>
        </w:rPr>
        <w:t>住房保障（类）</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63.01</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1.18</w:t>
      </w:r>
      <w:r>
        <w:rPr>
          <w:rFonts w:hint="eastAsia" w:ascii="仿宋_GB2312" w:hAnsi="ˎ̥" w:eastAsia="仿宋_GB2312"/>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88" w:name="_Toc22318_WPSOffice_Level2"/>
      <w:bookmarkStart w:id="89" w:name="_Toc9502_WPSOffice_Level2"/>
      <w:bookmarkStart w:id="90" w:name="_Toc25136_WPSOffice_Level2"/>
      <w:bookmarkStart w:id="91" w:name="_Toc21701_WPSOffice_Level2"/>
      <w:bookmarkStart w:id="92" w:name="_Toc15415_WPSOffice_Level2"/>
      <w:bookmarkStart w:id="93" w:name="_Toc29364_WPSOffice_Level2"/>
      <w:r>
        <w:rPr>
          <w:rFonts w:hint="eastAsia" w:ascii="楷体" w:hAnsi="楷体" w:eastAsia="楷体" w:cs="楷体"/>
          <w:color w:val="000000" w:themeColor="text1"/>
          <w:sz w:val="32"/>
          <w:szCs w:val="32"/>
          <w14:textFill>
            <w14:solidFill>
              <w14:schemeClr w14:val="tx1"/>
            </w14:solidFill>
          </w14:textFill>
        </w:rPr>
        <w:t>（三）一般公共预算财政拨款支出决算具体情况</w:t>
      </w:r>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年度一般公共预算财政拨款支出年初预算为</w:t>
      </w:r>
      <w:r>
        <w:rPr>
          <w:rFonts w:hint="eastAsia" w:ascii="仿宋" w:hAnsi="仿宋" w:eastAsia="仿宋" w:cs="仿宋"/>
          <w:color w:val="000000" w:themeColor="text1"/>
          <w:sz w:val="32"/>
          <w:szCs w:val="32"/>
          <w:lang w:val="en-US"/>
          <w14:textFill>
            <w14:solidFill>
              <w14:schemeClr w14:val="tx1"/>
            </w14:solidFill>
          </w14:textFill>
        </w:rPr>
        <w:t>9,369.2</w:t>
      </w:r>
      <w:r>
        <w:rPr>
          <w:rFonts w:hint="eastAsia" w:ascii="仿宋" w:hAnsi="仿宋" w:eastAsia="仿宋" w:cs="仿宋"/>
          <w:color w:val="000000" w:themeColor="text1"/>
          <w:sz w:val="32"/>
          <w:szCs w:val="32"/>
          <w14:textFill>
            <w14:solidFill>
              <w14:schemeClr w14:val="tx1"/>
            </w14:solidFill>
          </w14:textFill>
        </w:rPr>
        <w:t>万元，支出决算为</w:t>
      </w:r>
      <w:r>
        <w:rPr>
          <w:rFonts w:hint="eastAsia" w:ascii="仿宋" w:hAnsi="仿宋" w:eastAsia="仿宋" w:cs="仿宋"/>
          <w:color w:val="000000" w:themeColor="text1"/>
          <w:sz w:val="32"/>
          <w:szCs w:val="32"/>
          <w:lang w:val="en-US"/>
          <w14:textFill>
            <w14:solidFill>
              <w14:schemeClr w14:val="tx1"/>
            </w14:solidFill>
          </w14:textFill>
        </w:rPr>
        <w:t>5,338.84</w:t>
      </w:r>
      <w:r>
        <w:rPr>
          <w:rFonts w:hint="eastAsia" w:ascii="仿宋" w:hAnsi="仿宋" w:eastAsia="仿宋" w:cs="仿宋"/>
          <w:color w:val="000000" w:themeColor="text1"/>
          <w:sz w:val="32"/>
          <w:szCs w:val="32"/>
          <w14:textFill>
            <w14:solidFill>
              <w14:schemeClr w14:val="tx1"/>
            </w14:solidFill>
          </w14:textFill>
        </w:rPr>
        <w:t>万元，完成年初预算的</w:t>
      </w:r>
      <w:r>
        <w:rPr>
          <w:rFonts w:hint="eastAsia" w:ascii="仿宋" w:hAnsi="仿宋" w:eastAsia="仿宋" w:cs="仿宋"/>
          <w:color w:val="000000" w:themeColor="text1"/>
          <w:sz w:val="32"/>
          <w:szCs w:val="32"/>
          <w:lang w:val="en-US" w:eastAsia="zh-CN"/>
          <w14:textFill>
            <w14:solidFill>
              <w14:schemeClr w14:val="tx1"/>
            </w14:solidFill>
          </w14:textFill>
        </w:rPr>
        <w:t>56.98</w:t>
      </w:r>
      <w:r>
        <w:rPr>
          <w:rFonts w:hint="eastAsia" w:ascii="仿宋" w:hAnsi="仿宋" w:eastAsia="仿宋" w:cs="仿宋"/>
          <w:color w:val="000000" w:themeColor="text1"/>
          <w:sz w:val="32"/>
          <w:szCs w:val="32"/>
          <w14:textFill>
            <w14:solidFill>
              <w14:schemeClr w14:val="tx1"/>
            </w14:solidFill>
          </w14:textFill>
        </w:rPr>
        <w:t>%。其中：</w:t>
      </w:r>
    </w:p>
    <w:p>
      <w:pPr>
        <w:numPr>
          <w:ilvl w:val="0"/>
          <w:numId w:val="3"/>
        </w:numPr>
        <w:ind w:firstLine="643" w:firstLineChars="200"/>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）人力资源和社会保障管理事务（款）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行政运行（项）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585.32</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决算为581.31</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99.32%。</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color w:val="000000" w:themeColor="text1"/>
          <w:sz w:val="32"/>
          <w:szCs w:val="32"/>
          <w:lang w:eastAsia="zh-CN"/>
          <w14:textFill>
            <w14:solidFill>
              <w14:schemeClr w14:val="tx1"/>
            </w14:solidFill>
          </w14:textFill>
        </w:rPr>
        <w:t>行政运行支出减少。</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 xml:space="preserve"> </w:t>
      </w:r>
    </w:p>
    <w:p>
      <w:pPr>
        <w:numPr>
          <w:ilvl w:val="0"/>
          <w:numId w:val="3"/>
        </w:numPr>
        <w:ind w:firstLine="643"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）人力资源和社会保障管理事务（款）</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一般行政管理事务(项）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40.03</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36.9</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92.18%。</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小于</w:t>
      </w:r>
      <w:r>
        <w:rPr>
          <w:rFonts w:hint="eastAsia" w:ascii="仿宋_GB2312" w:hAnsi="仿宋_GB2312" w:eastAsia="仿宋_GB2312" w:cs="仿宋_GB2312"/>
          <w:color w:val="000000" w:themeColor="text1"/>
          <w:sz w:val="32"/>
          <w:szCs w:val="32"/>
          <w14:textFill>
            <w14:solidFill>
              <w14:schemeClr w14:val="tx1"/>
            </w14:solidFill>
          </w14:textFill>
        </w:rPr>
        <w:t>预算数的主要原因：一是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一般行政管理事务</w:t>
      </w:r>
      <w:r>
        <w:rPr>
          <w:rFonts w:hint="eastAsia" w:ascii="仿宋_GB2312" w:hAnsi="仿宋_GB2312" w:eastAsia="仿宋_GB2312" w:cs="仿宋_GB2312"/>
          <w:color w:val="000000" w:themeColor="text1"/>
          <w:sz w:val="32"/>
          <w:szCs w:val="32"/>
          <w:lang w:eastAsia="zh-CN"/>
          <w14:textFill>
            <w14:solidFill>
              <w14:schemeClr w14:val="tx1"/>
            </w14:solidFill>
          </w14:textFill>
        </w:rPr>
        <w:t xml:space="preserve">支出减少。  </w:t>
      </w:r>
    </w:p>
    <w:p>
      <w:pPr>
        <w:numPr>
          <w:ilvl w:val="0"/>
          <w:numId w:val="3"/>
        </w:numPr>
        <w:ind w:firstLine="643"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）人力资源和社会保障管理事务（款）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就业管理事务（项）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370.00</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373.13</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100.85%。</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大于</w:t>
      </w:r>
      <w:r>
        <w:rPr>
          <w:rFonts w:hint="eastAsia" w:ascii="仿宋_GB2312" w:hAnsi="仿宋_GB2312" w:eastAsia="仿宋_GB2312" w:cs="仿宋_GB2312"/>
          <w:color w:val="000000" w:themeColor="text1"/>
          <w:sz w:val="32"/>
          <w:szCs w:val="32"/>
          <w14:textFill>
            <w14:solidFill>
              <w14:schemeClr w14:val="tx1"/>
            </w14:solidFill>
          </w14:textFill>
        </w:rPr>
        <w:t>预算数的主要原因：一是</w:t>
      </w:r>
      <w:r>
        <w:rPr>
          <w:rFonts w:hint="eastAsia" w:ascii="仿宋_GB2312" w:hAnsi="仿宋_GB2312" w:eastAsia="仿宋_GB2312" w:cs="仿宋_GB2312"/>
          <w:color w:val="000000" w:themeColor="text1"/>
          <w:sz w:val="32"/>
          <w:szCs w:val="32"/>
          <w:lang w:eastAsia="zh-CN"/>
          <w14:textFill>
            <w14:solidFill>
              <w14:schemeClr w14:val="tx1"/>
            </w14:solidFill>
          </w14:textFill>
        </w:rPr>
        <w:t>就业管理事务支出增加。</w:t>
      </w:r>
    </w:p>
    <w:p>
      <w:pPr>
        <w:numPr>
          <w:ilvl w:val="0"/>
          <w:numId w:val="3"/>
        </w:numPr>
        <w:ind w:firstLine="643"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）人力资源和社会保障管理事务（款）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其他人力资源和社会保障管理事务支出（项）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387.34</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329.07</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84.96%。</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小于</w:t>
      </w:r>
      <w:r>
        <w:rPr>
          <w:rFonts w:hint="eastAsia" w:ascii="仿宋_GB2312" w:hAnsi="仿宋_GB2312" w:eastAsia="仿宋_GB2312" w:cs="仿宋_GB2312"/>
          <w:color w:val="000000" w:themeColor="text1"/>
          <w:sz w:val="32"/>
          <w:szCs w:val="32"/>
          <w14:textFill>
            <w14:solidFill>
              <w14:schemeClr w14:val="tx1"/>
            </w14:solidFill>
          </w14:textFill>
        </w:rPr>
        <w:t>预算数的主要原因：一是</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其他人力资源和社会保障管理事务支出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减少。</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行政事业单位养老支出（款）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机关事业单位基本养老保险缴费支出（项）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67.34</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70.84</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105.2%。</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大</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机关事业单位基本养老保险缴费支出增加</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行政事业单位养老支出（款）</w:t>
      </w:r>
      <w:r>
        <w:rPr>
          <w:rFonts w:hint="eastAsia" w:ascii="仿宋_GB2312" w:hAnsi="仿宋_GB2312" w:eastAsia="仿宋_GB2312" w:cs="仿宋_GB2312"/>
          <w:b/>
          <w:bCs/>
          <w:color w:val="000000" w:themeColor="text1"/>
          <w:sz w:val="32"/>
          <w:szCs w:val="32"/>
          <w14:textFill>
            <w14:solidFill>
              <w14:schemeClr w14:val="tx1"/>
            </w14:solidFill>
          </w14:textFill>
        </w:rPr>
        <w:t>机关事业单位职业年金缴费支出</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33.67</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55.46</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164.72%。</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大</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机关事业单位职业年金缴费支出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行政事业单位养老支出（款）</w:t>
      </w:r>
      <w:r>
        <w:rPr>
          <w:rFonts w:hint="eastAsia" w:ascii="仿宋_GB2312" w:hAnsi="仿宋_GB2312" w:eastAsia="仿宋_GB2312" w:cs="仿宋_GB2312"/>
          <w:b/>
          <w:bCs/>
          <w:color w:val="000000" w:themeColor="text1"/>
          <w:sz w:val="32"/>
          <w:szCs w:val="32"/>
          <w14:textFill>
            <w14:solidFill>
              <w14:schemeClr w14:val="tx1"/>
            </w14:solidFill>
          </w14:textFill>
        </w:rPr>
        <w:t>其他行政事业单位养老支出</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25.87</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36.18</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139.85%。</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大</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其他行政事业单位养老支出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 xml:space="preserve"> </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就业补助（款）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职业培训补贴（项）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660.41</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649.33</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98.32%，</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职业培训补贴支出减少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就业补助（款）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社会保险补贴（项）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0</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1,438.12</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决算数大于预算数的主要原因：一是</w:t>
      </w:r>
      <w:r>
        <w:rPr>
          <w:rFonts w:hint="eastAsia" w:ascii="仿宋_GB2312" w:hAnsi="仿宋_GB2312" w:eastAsia="仿宋_GB2312" w:cs="仿宋_GB2312"/>
          <w:color w:val="000000" w:themeColor="text1"/>
          <w:sz w:val="32"/>
          <w:szCs w:val="32"/>
          <w:lang w:eastAsia="zh-CN"/>
          <w14:textFill>
            <w14:solidFill>
              <w14:schemeClr w14:val="tx1"/>
            </w14:solidFill>
          </w14:textFill>
        </w:rPr>
        <w:t>新增调整</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社会保险补贴支出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就业补助（款）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公益性岗位补贴（项）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334.43</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决算数大于预算数的主要原因：一是</w:t>
      </w:r>
      <w:r>
        <w:rPr>
          <w:rFonts w:hint="eastAsia" w:ascii="仿宋_GB2312" w:hAnsi="仿宋_GB2312" w:eastAsia="仿宋_GB2312" w:cs="仿宋_GB2312"/>
          <w:color w:val="000000" w:themeColor="text1"/>
          <w:sz w:val="32"/>
          <w:szCs w:val="32"/>
          <w:lang w:eastAsia="zh-CN"/>
          <w14:textFill>
            <w14:solidFill>
              <w14:schemeClr w14:val="tx1"/>
            </w14:solidFill>
          </w14:textFill>
        </w:rPr>
        <w:t>新增调整</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公益性岗位</w:t>
      </w:r>
      <w:r>
        <w:rPr>
          <w:rFonts w:hint="eastAsia" w:ascii="仿宋_GB2312" w:hAnsi="仿宋_GB2312" w:eastAsia="仿宋_GB2312" w:cs="仿宋_GB2312"/>
          <w:b w:val="0"/>
          <w:bCs w:val="0"/>
          <w:color w:val="000000" w:themeColor="text1"/>
          <w:sz w:val="32"/>
          <w:szCs w:val="32"/>
          <w14:textFill>
            <w14:solidFill>
              <w14:schemeClr w14:val="tx1"/>
            </w14:solidFill>
          </w14:textFill>
        </w:rPr>
        <w:t>补贴支出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就业补助（款）就业见习补贴(项）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642.16</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877.91</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136.71%。</w:t>
      </w:r>
      <w:r>
        <w:rPr>
          <w:rFonts w:hint="eastAsia" w:ascii="仿宋_GB2312" w:hAnsi="仿宋_GB2312" w:eastAsia="仿宋_GB2312" w:cs="仿宋_GB2312"/>
          <w:color w:val="000000" w:themeColor="text1"/>
          <w:sz w:val="32"/>
          <w:szCs w:val="32"/>
          <w14:textFill>
            <w14:solidFill>
              <w14:schemeClr w14:val="tx1"/>
            </w14:solidFill>
          </w14:textFill>
        </w:rPr>
        <w:t>决算数大于预算数的主要原因：一是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就业见习补贴支出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p>
    <w:p>
      <w:pPr>
        <w:numPr>
          <w:ilvl w:val="0"/>
          <w:numId w:val="3"/>
        </w:numPr>
        <w:ind w:left="0" w:leftChars="0" w:firstLine="643"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就业补助（款）</w:t>
      </w:r>
      <w:r>
        <w:rPr>
          <w:rFonts w:hint="eastAsia" w:ascii="仿宋_GB2312" w:hAnsi="仿宋_GB2312" w:eastAsia="仿宋_GB2312" w:cs="仿宋_GB2312"/>
          <w:b/>
          <w:bCs/>
          <w:color w:val="000000" w:themeColor="text1"/>
          <w:sz w:val="32"/>
          <w:szCs w:val="32"/>
          <w14:textFill>
            <w14:solidFill>
              <w14:schemeClr w14:val="tx1"/>
            </w14:solidFill>
          </w14:textFill>
        </w:rPr>
        <w:t>其他就业补助支出</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183.78</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410.06</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223.13%。</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其他就业补助支出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 xml:space="preserve"> </w:t>
      </w:r>
    </w:p>
    <w:p>
      <w:pPr>
        <w:numPr>
          <w:ilvl w:val="0"/>
          <w:numId w:val="0"/>
        </w:numPr>
        <w:ind w:firstLine="643" w:firstLineChars="200"/>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lang w:val="en-US" w:eastAsia="zh-CN"/>
          <w14:textFill>
            <w14:solidFill>
              <w14:schemeClr w14:val="tx1"/>
            </w14:solidFill>
          </w14:textFill>
        </w:rPr>
        <w:t>14、</w:t>
      </w:r>
      <w:r>
        <w:rPr>
          <w:rFonts w:hint="eastAsia" w:ascii="仿宋_GB2312" w:hAnsi="ˎ̥" w:eastAsia="仿宋_GB2312"/>
          <w:b/>
          <w:color w:val="000000" w:themeColor="text1"/>
          <w:sz w:val="32"/>
          <w:szCs w:val="32"/>
          <w14:textFill>
            <w14:solidFill>
              <w14:schemeClr w14:val="tx1"/>
            </w14:solidFill>
          </w14:textFill>
        </w:rPr>
        <w:t>社会保障和就业支出</w:t>
      </w:r>
      <w:r>
        <w:rPr>
          <w:rFonts w:hint="eastAsia" w:ascii="仿宋_GB2312" w:hAnsi="ˎ̥" w:eastAsia="仿宋_GB2312"/>
          <w:b/>
          <w:bCs/>
          <w:color w:val="000000" w:themeColor="text1"/>
          <w:sz w:val="32"/>
          <w:szCs w:val="32"/>
          <w:lang w:eastAsia="zh-CN"/>
          <w14:textFill>
            <w14:solidFill>
              <w14:schemeClr w14:val="tx1"/>
            </w14:solidFill>
          </w14:textFill>
        </w:rPr>
        <w:t>（类</w:t>
      </w:r>
      <w:r>
        <w:rPr>
          <w:rFonts w:hint="eastAsia" w:ascii="仿宋_GB2312" w:hAnsi="ˎ̥" w:eastAsia="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抚恤</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其他优抚支出（项）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2.22</w:t>
      </w:r>
      <w:r>
        <w:rPr>
          <w:rFonts w:hint="eastAsia" w:ascii="仿宋_GB2312" w:hAnsi="仿宋_GB2312" w:eastAsia="仿宋_GB2312" w:cs="仿宋_GB2312"/>
          <w:color w:val="000000" w:themeColor="text1"/>
          <w:sz w:val="32"/>
          <w:szCs w:val="32"/>
          <w14:textFill>
            <w14:solidFill>
              <w14:schemeClr w14:val="tx1"/>
            </w14:solidFill>
          </w14:textFill>
        </w:rPr>
        <w:t>万元，支出决算为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1.91</w:t>
      </w:r>
      <w:r>
        <w:rPr>
          <w:rFonts w:hint="eastAsia" w:ascii="仿宋_GB2312" w:hAnsi="仿宋_GB2312" w:eastAsia="仿宋_GB2312" w:cs="仿宋_GB2312"/>
          <w:color w:val="000000" w:themeColor="text1"/>
          <w:sz w:val="32"/>
          <w:szCs w:val="32"/>
          <w14:textFill>
            <w14:solidFill>
              <w14:schemeClr w14:val="tx1"/>
            </w14:solidFill>
          </w14:textFill>
        </w:rPr>
        <w:t>万元，完成年初预算的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86.04</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小于</w:t>
      </w:r>
      <w:r>
        <w:rPr>
          <w:rFonts w:hint="eastAsia" w:ascii="仿宋_GB2312" w:hAnsi="仿宋_GB2312" w:eastAsia="仿宋_GB2312" w:cs="仿宋_GB2312"/>
          <w:color w:val="000000" w:themeColor="text1"/>
          <w:sz w:val="32"/>
          <w:szCs w:val="32"/>
          <w14:textFill>
            <w14:solidFill>
              <w14:schemeClr w14:val="tx1"/>
            </w14:solidFill>
          </w14:textFill>
        </w:rPr>
        <w:t>预算数的主要原因：一是</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其他优抚支出</w:t>
      </w:r>
      <w:r>
        <w:rPr>
          <w:rFonts w:hint="eastAsia" w:ascii="仿宋_GB2312" w:hAnsi="仿宋_GB2312" w:eastAsia="仿宋_GB2312" w:cs="仿宋_GB2312"/>
          <w:b w:val="0"/>
          <w:bCs w:val="0"/>
          <w:color w:val="000000" w:themeColor="text1"/>
          <w:sz w:val="32"/>
          <w:szCs w:val="32"/>
          <w14:textFill>
            <w14:solidFill>
              <w14:schemeClr w14:val="tx1"/>
            </w14:solidFill>
          </w14:textFill>
        </w:rPr>
        <w:t>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减少。</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 xml:space="preserve"> </w:t>
      </w:r>
    </w:p>
    <w:p>
      <w:pPr>
        <w:keepNext w:val="0"/>
        <w:keepLines w:val="0"/>
        <w:widowControl/>
        <w:suppressLineNumbers w:val="0"/>
        <w:ind w:firstLine="643" w:firstLineChars="200"/>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15、</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卫生健康支出（类）行政事业单位医疗（款）行政单位医疗（项）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36.98</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23.04</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63.30%。</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就行政单位医疗支出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减少。</w:t>
      </w:r>
    </w:p>
    <w:p>
      <w:pPr>
        <w:keepNext w:val="0"/>
        <w:keepLines w:val="0"/>
        <w:widowControl/>
        <w:suppressLineNumbers w:val="0"/>
        <w:ind w:firstLine="643" w:firstLineChars="200"/>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16、</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卫生健康支出（类）行政事业单位医疗（款）</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事业单位医疗(项）</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2.89</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1.72</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59.52%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w:t>
      </w:r>
      <w:r>
        <w:rPr>
          <w:rFonts w:hint="eastAsia" w:ascii="仿宋_GB2312" w:hAnsi="仿宋_GB2312" w:eastAsia="仿宋_GB2312" w:cs="仿宋_GB2312"/>
          <w:color w:val="000000" w:themeColor="text1"/>
          <w:sz w:val="32"/>
          <w:szCs w:val="32"/>
          <w:lang w:eastAsia="zh-CN"/>
          <w14:textFill>
            <w14:solidFill>
              <w14:schemeClr w14:val="tx1"/>
            </w14:solidFill>
          </w14:textFill>
        </w:rPr>
        <w:t>事业单位医疗支出的减少。</w:t>
      </w:r>
    </w:p>
    <w:p>
      <w:pPr>
        <w:keepNext w:val="0"/>
        <w:keepLines w:val="0"/>
        <w:widowControl/>
        <w:suppressLineNumbers w:val="0"/>
        <w:ind w:firstLine="640" w:firstLineChars="200"/>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17、</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卫生健康支出（类）行政事业单位医疗（款）公务员医疗补助（项）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48.92</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53.79</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109.96%。</w:t>
      </w:r>
      <w:r>
        <w:rPr>
          <w:rFonts w:hint="eastAsia" w:ascii="仿宋_GB2312" w:hAnsi="仿宋_GB2312" w:eastAsia="仿宋_GB2312" w:cs="仿宋_GB2312"/>
          <w:color w:val="000000" w:themeColor="text1"/>
          <w:sz w:val="32"/>
          <w:szCs w:val="32"/>
          <w14:textFill>
            <w14:solidFill>
              <w14:schemeClr w14:val="tx1"/>
            </w14:solidFill>
          </w14:textFill>
        </w:rPr>
        <w:t>决算数大于预算数的主要原因：一是</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公务员医疗补助</w:t>
      </w:r>
      <w:r>
        <w:rPr>
          <w:rFonts w:hint="eastAsia" w:ascii="仿宋_GB2312" w:hAnsi="仿宋_GB2312" w:eastAsia="仿宋_GB2312" w:cs="仿宋_GB2312"/>
          <w:b w:val="0"/>
          <w:bCs w:val="0"/>
          <w:color w:val="000000" w:themeColor="text1"/>
          <w:sz w:val="32"/>
          <w:szCs w:val="32"/>
          <w14:textFill>
            <w14:solidFill>
              <w14:schemeClr w14:val="tx1"/>
            </w14:solidFill>
          </w14:textFill>
        </w:rPr>
        <w:t>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p>
    <w:p>
      <w:pPr>
        <w:keepNext w:val="0"/>
        <w:keepLines w:val="0"/>
        <w:widowControl/>
        <w:suppressLineNumbers w:val="0"/>
        <w:ind w:firstLine="640" w:firstLineChars="200"/>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卫生健康支出（类）行政事业单位医疗（款）</w:t>
      </w:r>
      <w:r>
        <w:rPr>
          <w:rFonts w:hint="eastAsia" w:ascii="仿宋_GB2312" w:hAnsi="仿宋_GB2312" w:eastAsia="仿宋_GB2312" w:cs="仿宋_GB2312"/>
          <w:b/>
          <w:bCs/>
          <w:color w:val="000000" w:themeColor="text1"/>
          <w:sz w:val="32"/>
          <w:szCs w:val="32"/>
          <w14:textFill>
            <w14:solidFill>
              <w14:schemeClr w14:val="tx1"/>
            </w14:solidFill>
          </w14:textFill>
        </w:rPr>
        <w:t>其他行政事业单位医疗支出</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4.3</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2.66</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61.86%。</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其他行政事业单位医疗支出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减少。</w:t>
      </w:r>
    </w:p>
    <w:p>
      <w:pPr>
        <w:keepNext w:val="0"/>
        <w:keepLines w:val="0"/>
        <w:widowControl/>
        <w:numPr>
          <w:ilvl w:val="0"/>
          <w:numId w:val="0"/>
        </w:numPr>
        <w:suppressLineNumbers w:val="0"/>
        <w:ind w:firstLine="643" w:firstLineChars="200"/>
        <w:jc w:val="left"/>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19、住房保障支出（类）住房改革支出（款）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住房公积金（项）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58.71</w:t>
      </w:r>
      <w:r>
        <w:rPr>
          <w:rFonts w:hint="eastAsia" w:ascii="仿宋_GB2312" w:hAns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决算为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63.01</w:t>
      </w:r>
      <w:r>
        <w:rPr>
          <w:rFonts w:hint="eastAsia" w:ascii="仿宋_GB2312" w:hAnsi="仿宋_GB2312" w:eastAsia="仿宋_GB2312" w:cs="仿宋_GB2312"/>
          <w:color w:val="000000" w:themeColor="text1"/>
          <w:sz w:val="32"/>
          <w:szCs w:val="32"/>
          <w:lang w:eastAsia="zh-CN"/>
          <w14:textFill>
            <w14:solidFill>
              <w14:schemeClr w14:val="tx1"/>
            </w14:solidFill>
          </w14:textFill>
        </w:rPr>
        <w:t>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元，完成年初预算的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107.32%。</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eastAsia="zh-CN"/>
          <w14:textFill>
            <w14:solidFill>
              <w14:schemeClr w14:val="tx1"/>
            </w14:solidFill>
          </w14:textFill>
        </w:rPr>
        <w:t>小</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于预算数的主要原因：一是</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住房公积金支出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增加。</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年度财政拨款基本支出</w:t>
      </w:r>
      <w:r>
        <w:rPr>
          <w:rFonts w:hint="eastAsia" w:ascii="仿宋" w:hAnsi="仿宋" w:eastAsia="仿宋" w:cs="仿宋"/>
          <w:color w:val="000000" w:themeColor="text1"/>
          <w:sz w:val="32"/>
          <w:szCs w:val="32"/>
          <w:lang w:val="en-US"/>
          <w14:textFill>
            <w14:solidFill>
              <w14:schemeClr w14:val="tx1"/>
            </w14:solidFill>
          </w14:textFill>
        </w:rPr>
        <w:t>931.29</w:t>
      </w:r>
      <w:r>
        <w:rPr>
          <w:rFonts w:hint="eastAsia" w:ascii="仿宋" w:hAnsi="仿宋" w:eastAsia="仿宋" w:cs="仿宋"/>
          <w:color w:val="000000" w:themeColor="text1"/>
          <w:sz w:val="32"/>
          <w:szCs w:val="32"/>
          <w14:textFill>
            <w14:solidFill>
              <w14:schemeClr w14:val="tx1"/>
            </w14:solidFill>
          </w14:textFill>
        </w:rPr>
        <w:t>万元，其中：人员经费</w:t>
      </w:r>
      <w:r>
        <w:rPr>
          <w:rFonts w:hint="eastAsia" w:ascii="仿宋" w:hAnsi="仿宋" w:eastAsia="仿宋" w:cs="仿宋"/>
          <w:color w:val="000000" w:themeColor="text1"/>
          <w:sz w:val="32"/>
          <w:szCs w:val="32"/>
          <w:lang w:val="en-US"/>
          <w14:textFill>
            <w14:solidFill>
              <w14:schemeClr w14:val="tx1"/>
            </w14:solidFill>
          </w14:textFill>
        </w:rPr>
        <w:t>854.18</w:t>
      </w:r>
      <w:r>
        <w:rPr>
          <w:rFonts w:hint="eastAsia" w:ascii="仿宋" w:hAnsi="仿宋" w:eastAsia="仿宋" w:cs="仿宋"/>
          <w:color w:val="000000" w:themeColor="text1"/>
          <w:sz w:val="32"/>
          <w:szCs w:val="32"/>
          <w14:textFill>
            <w14:solidFill>
              <w14:schemeClr w14:val="tx1"/>
            </w14:solidFill>
          </w14:textFill>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hint="eastAsia" w:ascii="仿宋" w:hAnsi="仿宋" w:eastAsia="仿宋" w:cs="仿宋"/>
          <w:color w:val="000000" w:themeColor="text1"/>
          <w:sz w:val="32"/>
          <w:szCs w:val="32"/>
          <w:lang w:val="en-US"/>
          <w14:textFill>
            <w14:solidFill>
              <w14:schemeClr w14:val="tx1"/>
            </w14:solidFill>
          </w14:textFill>
        </w:rPr>
        <w:t>77.11</w:t>
      </w:r>
      <w:r>
        <w:rPr>
          <w:rFonts w:hint="eastAsia" w:ascii="仿宋" w:hAnsi="仿宋" w:eastAsia="仿宋" w:cs="仿宋"/>
          <w:color w:val="000000" w:themeColor="text1"/>
          <w:sz w:val="32"/>
          <w:szCs w:val="32"/>
          <w14:textFill>
            <w14:solidFill>
              <w14:schemeClr w14:val="tx1"/>
            </w14:solidFill>
          </w14:textFill>
        </w:rPr>
        <w:t>万元，主要包括：</w:t>
      </w:r>
      <w:r>
        <w:rPr>
          <w:rFonts w:hint="eastAsia" w:ascii="仿宋" w:hAnsi="仿宋" w:eastAsia="仿宋" w:cs="仿宋"/>
          <w:color w:val="000000" w:themeColor="text1"/>
          <w:sz w:val="32"/>
          <w:szCs w:val="32"/>
          <w:highlight w:val="none"/>
          <w14:textFill>
            <w14:solidFill>
              <w14:schemeClr w14:val="tx1"/>
            </w14:solidFill>
          </w14:textFill>
        </w:rPr>
        <w:t>主要包括：商品和服务支出中的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w:t>
      </w:r>
      <w:r>
        <w:rPr>
          <w:rFonts w:hint="eastAsia" w:ascii="仿宋" w:hAnsi="仿宋" w:eastAsia="仿宋" w:cs="仿宋"/>
          <w:color w:val="000000" w:themeColor="text1"/>
          <w:sz w:val="32"/>
          <w:szCs w:val="32"/>
          <w:highlight w:val="none"/>
          <w:lang w:eastAsia="zh-CN"/>
          <w14:textFill>
            <w14:solidFill>
              <w14:schemeClr w14:val="tx1"/>
            </w14:solidFill>
          </w14:textFill>
        </w:rPr>
        <w:t>购</w:t>
      </w:r>
      <w:r>
        <w:rPr>
          <w:rFonts w:hint="eastAsia" w:ascii="仿宋" w:hAnsi="仿宋" w:eastAsia="仿宋" w:cs="仿宋"/>
          <w:color w:val="000000" w:themeColor="text1"/>
          <w:sz w:val="32"/>
          <w:szCs w:val="32"/>
          <w:highlight w:val="none"/>
          <w14:textFill>
            <w14:solidFill>
              <w14:schemeClr w14:val="tx1"/>
            </w14:solidFill>
          </w14:textFill>
        </w:rPr>
        <w:t>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七、政府性基金预算财政拨款支出决算情况说明</w:t>
      </w:r>
    </w:p>
    <w:p>
      <w:pPr>
        <w:spacing w:line="578" w:lineRule="exact"/>
        <w:ind w:firstLine="640" w:firstLineChars="200"/>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（一）政府性基金预算财政拨款支出决算总体情况</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14:textFill>
            <w14:solidFill>
              <w14:schemeClr w14:val="tx1"/>
            </w14:solidFill>
          </w14:textFill>
        </w:rPr>
        <w:t>年度政府性基金预算财政拨款支出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万元，占本年支出合计的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%。与202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年度相比，政府性基金预算财政拨款支出增加（减少）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万元，增长（下降）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本年度无</w:t>
      </w:r>
      <w:r>
        <w:rPr>
          <w:rFonts w:hint="eastAsia" w:ascii="仿宋" w:hAnsi="仿宋" w:eastAsia="仿宋" w:cs="仿宋"/>
          <w:color w:val="000000" w:themeColor="text1"/>
          <w:sz w:val="32"/>
          <w:szCs w:val="32"/>
          <w:highlight w:val="none"/>
          <w14:textFill>
            <w14:solidFill>
              <w14:schemeClr w14:val="tx1"/>
            </w14:solidFill>
          </w14:textFill>
        </w:rPr>
        <w:t>政府性基金预算财政拨款支出。</w:t>
      </w:r>
    </w:p>
    <w:p>
      <w:pPr>
        <w:spacing w:line="578" w:lineRule="exact"/>
        <w:ind w:firstLine="640" w:firstLineChars="200"/>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（二）政府性基金预算财政拨款支出决算结构情况</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14:textFill>
            <w14:solidFill>
              <w14:schemeClr w14:val="tx1"/>
            </w14:solidFill>
          </w14:textFill>
        </w:rPr>
        <w:t>年度政府性基金预算财政拨款支出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万元，主要用于以下方面：</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（三）政府性基金预算财政拨款支出决算具体情况</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14:textFill>
            <w14:solidFill>
              <w14:schemeClr w14:val="tx1"/>
            </w14:solidFill>
          </w14:textFill>
        </w:rPr>
        <w:t>年度政府性基金预算财政拨款支出年初预算为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%。其中：</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（款）</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（项）。</w:t>
      </w:r>
    </w:p>
    <w:p>
      <w:pPr>
        <w:spacing w:line="578" w:lineRule="exact"/>
        <w:ind w:firstLine="640" w:firstLineChars="200"/>
        <w:rPr>
          <w:rFonts w:hint="eastAsia" w:ascii="仿宋" w:hAnsi="仿宋" w:eastAsia="仿宋" w:cs="仿宋"/>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%。决算数大于（小于）预算数的主要原因：</w:t>
      </w:r>
      <w:r>
        <w:rPr>
          <w:rFonts w:hint="eastAsia" w:ascii="仿宋" w:hAnsi="仿宋" w:eastAsia="仿宋" w:cs="仿宋"/>
          <w:color w:val="000000" w:themeColor="text1"/>
          <w:sz w:val="32"/>
          <w:szCs w:val="32"/>
          <w:highlight w:val="none"/>
          <w:lang w:eastAsia="zh-CN"/>
          <w14:textFill>
            <w14:solidFill>
              <w14:schemeClr w14:val="tx1"/>
            </w14:solidFill>
          </w14:textFill>
        </w:rPr>
        <w:t>本年度无</w:t>
      </w:r>
      <w:r>
        <w:rPr>
          <w:rFonts w:hint="eastAsia" w:ascii="仿宋" w:hAnsi="仿宋" w:eastAsia="仿宋" w:cs="仿宋"/>
          <w:color w:val="000000" w:themeColor="text1"/>
          <w:sz w:val="32"/>
          <w:szCs w:val="32"/>
          <w:highlight w:val="none"/>
          <w14:textFill>
            <w14:solidFill>
              <w14:schemeClr w14:val="tx1"/>
            </w14:solidFill>
          </w14:textFill>
        </w:rPr>
        <w:t>政府性基金预算财政拨款支出</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（三）政府性基金预算财政拨款支出决算具体情况</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14:textFill>
            <w14:solidFill>
              <w14:schemeClr w14:val="tx1"/>
            </w14:solidFill>
          </w14:textFill>
        </w:rPr>
        <w:t>年度</w:t>
      </w:r>
      <w:r>
        <w:rPr>
          <w:rFonts w:hint="eastAsia" w:ascii="楷体" w:hAnsi="楷体" w:eastAsia="楷体" w:cs="楷体"/>
          <w:color w:val="000000" w:themeColor="text1"/>
          <w:sz w:val="32"/>
          <w:szCs w:val="32"/>
          <w14:textFill>
            <w14:solidFill>
              <w14:schemeClr w14:val="tx1"/>
            </w14:solidFill>
          </w14:textFill>
        </w:rPr>
        <w:t>政府性基金预算财政拨款支出决算</w:t>
      </w: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%。其中：</w:t>
      </w:r>
    </w:p>
    <w:p>
      <w:pPr>
        <w:spacing w:line="578" w:lineRule="exact"/>
        <w:ind w:firstLine="640" w:firstLineChars="200"/>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（款）</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（项）。</w:t>
      </w:r>
    </w:p>
    <w:p>
      <w:pPr>
        <w:spacing w:line="578" w:lineRule="exact"/>
        <w:ind w:firstLine="640" w:firstLineChars="200"/>
        <w:rPr>
          <w:rFonts w:hint="eastAsia" w:ascii="仿宋" w:hAnsi="仿宋" w:eastAsia="楷体" w:cs="仿宋"/>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%。决算数大于（小于）预算数的主要原因：</w:t>
      </w:r>
      <w:r>
        <w:rPr>
          <w:rFonts w:hint="eastAsia" w:ascii="仿宋" w:hAnsi="仿宋" w:eastAsia="仿宋" w:cs="仿宋"/>
          <w:color w:val="000000" w:themeColor="text1"/>
          <w:sz w:val="32"/>
          <w:szCs w:val="32"/>
          <w:highlight w:val="none"/>
          <w:lang w:eastAsia="zh-CN"/>
          <w14:textFill>
            <w14:solidFill>
              <w14:schemeClr w14:val="tx1"/>
            </w14:solidFill>
          </w14:textFill>
        </w:rPr>
        <w:t>本年度无</w:t>
      </w:r>
      <w:r>
        <w:rPr>
          <w:rFonts w:hint="eastAsia" w:ascii="楷体" w:hAnsi="楷体" w:eastAsia="楷体" w:cs="楷体"/>
          <w:color w:val="000000" w:themeColor="text1"/>
          <w:sz w:val="32"/>
          <w:szCs w:val="32"/>
          <w14:textFill>
            <w14:solidFill>
              <w14:schemeClr w14:val="tx1"/>
            </w14:solidFill>
          </w14:textFill>
        </w:rPr>
        <w:t>政府性基金预算财政拨款支出决算</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八、国有资本经营预算财政拨款支出决算情况说明</w:t>
      </w:r>
    </w:p>
    <w:p>
      <w:pPr>
        <w:spacing w:line="578" w:lineRule="exact"/>
        <w:ind w:firstLine="640" w:firstLineChars="200"/>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（一）国有资本经营预算财政拨款支出决算总体情况</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14:textFill>
            <w14:solidFill>
              <w14:schemeClr w14:val="tx1"/>
            </w14:solidFill>
          </w14:textFill>
        </w:rPr>
        <w:t>年度国有资本经营预算财政拨款支出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万元，占本年支出合计的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%。与202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年度相比，国有资本经营预算财政拨款支出增加（减少）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万元，增长（下降）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本年度无</w:t>
      </w:r>
      <w:r>
        <w:rPr>
          <w:rFonts w:hint="eastAsia" w:ascii="楷体" w:hAnsi="楷体" w:eastAsia="楷体" w:cs="楷体"/>
          <w:color w:val="000000" w:themeColor="text1"/>
          <w:sz w:val="32"/>
          <w:szCs w:val="32"/>
          <w:highlight w:val="none"/>
          <w14:textFill>
            <w14:solidFill>
              <w14:schemeClr w14:val="tx1"/>
            </w14:solidFill>
          </w14:textFill>
        </w:rPr>
        <w:t>国有资本经营预算财政拨款支出</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（二）国有资本经营预算财政拨款支出决算结构情况</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14:textFill>
            <w14:solidFill>
              <w14:schemeClr w14:val="tx1"/>
            </w14:solidFill>
          </w14:textFill>
        </w:rPr>
        <w:t>年度国有资本经营预算财政拨款支出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万元，主要用于以下方面：</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万元，占</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（三）国有资本经营预算财政拨款支出决算具体情况</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14:textFill>
            <w14:solidFill>
              <w14:schemeClr w14:val="tx1"/>
            </w14:solidFill>
          </w14:textFill>
        </w:rPr>
        <w:t>年度国有资本经营预算财政拨款支出年初预算为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%。其中：</w:t>
      </w:r>
    </w:p>
    <w:p>
      <w:pPr>
        <w:spacing w:line="578" w:lineRule="exact"/>
        <w:ind w:firstLine="640" w:firstLineChars="200"/>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（类）</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（款）</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（项）。</w:t>
      </w:r>
    </w:p>
    <w:p>
      <w:pPr>
        <w:spacing w:line="578" w:lineRule="exact"/>
        <w:ind w:firstLine="640" w:firstLineChars="200"/>
        <w:rPr>
          <w:rFonts w:hint="eastAsia" w:ascii="仿宋" w:hAnsi="仿宋" w:eastAsia="楷体" w:cs="仿宋"/>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%。决算数大于（小于）预算数的主要原因：</w:t>
      </w:r>
      <w:r>
        <w:rPr>
          <w:rFonts w:hint="eastAsia" w:ascii="仿宋" w:hAnsi="仿宋" w:eastAsia="仿宋" w:cs="仿宋"/>
          <w:color w:val="000000" w:themeColor="text1"/>
          <w:sz w:val="32"/>
          <w:szCs w:val="32"/>
          <w:highlight w:val="none"/>
          <w:lang w:eastAsia="zh-CN"/>
          <w14:textFill>
            <w14:solidFill>
              <w14:schemeClr w14:val="tx1"/>
            </w14:solidFill>
          </w14:textFill>
        </w:rPr>
        <w:t>本年度无</w:t>
      </w:r>
      <w:r>
        <w:rPr>
          <w:rFonts w:hint="eastAsia" w:ascii="仿宋" w:hAnsi="仿宋" w:eastAsia="仿宋" w:cs="仿宋"/>
          <w:color w:val="000000" w:themeColor="text1"/>
          <w:sz w:val="32"/>
          <w:szCs w:val="32"/>
          <w:highlight w:val="none"/>
          <w14:textFill>
            <w14:solidFill>
              <w14:schemeClr w14:val="tx1"/>
            </w14:solidFill>
          </w14:textFill>
        </w:rPr>
        <w:t>国有资本经营预算财政拨款支出</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年度财政拨款“三公”经费支出预算为</w:t>
      </w:r>
      <w:r>
        <w:rPr>
          <w:rFonts w:hint="eastAsia" w:ascii="仿宋" w:hAnsi="仿宋" w:eastAsia="仿宋" w:cs="仿宋"/>
          <w:color w:val="000000" w:themeColor="text1"/>
          <w:sz w:val="32"/>
          <w:szCs w:val="32"/>
          <w:lang w:val="en-US"/>
          <w14:textFill>
            <w14:solidFill>
              <w14:schemeClr w14:val="tx1"/>
            </w14:solidFill>
          </w14:textFill>
        </w:rPr>
        <w:t>1.20</w:t>
      </w:r>
      <w:r>
        <w:rPr>
          <w:rFonts w:hint="eastAsia" w:ascii="仿宋" w:hAnsi="仿宋" w:eastAsia="仿宋" w:cs="仿宋"/>
          <w:color w:val="000000" w:themeColor="text1"/>
          <w:sz w:val="32"/>
          <w:szCs w:val="32"/>
          <w14:textFill>
            <w14:solidFill>
              <w14:schemeClr w14:val="tx1"/>
            </w14:solidFill>
          </w14:textFill>
        </w:rPr>
        <w:t>万元，支出决算为</w:t>
      </w:r>
      <w:r>
        <w:rPr>
          <w:rFonts w:hint="eastAsia" w:ascii="仿宋" w:hAnsi="仿宋" w:eastAsia="仿宋" w:cs="仿宋"/>
          <w:color w:val="000000" w:themeColor="text1"/>
          <w:sz w:val="32"/>
          <w:szCs w:val="32"/>
          <w:lang w:val="en-US"/>
          <w14:textFill>
            <w14:solidFill>
              <w14:schemeClr w14:val="tx1"/>
            </w14:solidFill>
          </w14:textFill>
        </w:rPr>
        <w:t>1.20</w:t>
      </w:r>
      <w:r>
        <w:rPr>
          <w:rFonts w:hint="eastAsia" w:ascii="仿宋" w:hAnsi="仿宋" w:eastAsia="仿宋" w:cs="仿宋"/>
          <w:color w:val="000000" w:themeColor="text1"/>
          <w:sz w:val="32"/>
          <w:szCs w:val="32"/>
          <w14:textFill>
            <w14:solidFill>
              <w14:schemeClr w14:val="tx1"/>
            </w14:solidFill>
          </w14:textFill>
        </w:rPr>
        <w:t>万元，完成预算的</w:t>
      </w:r>
      <w:r>
        <w:rPr>
          <w:rFonts w:hint="eastAsia" w:ascii="仿宋" w:hAnsi="仿宋" w:eastAsia="仿宋" w:cs="仿宋"/>
          <w:color w:val="000000" w:themeColor="text1"/>
          <w:sz w:val="32"/>
          <w:szCs w:val="32"/>
          <w:lang w:val="en-US" w:eastAsia="zh-CN"/>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%，与</w:t>
      </w:r>
      <w:r>
        <w:rPr>
          <w:rFonts w:hint="eastAsia" w:ascii="仿宋" w:hAnsi="仿宋" w:eastAsia="仿宋" w:cs="仿宋"/>
          <w:color w:val="000000" w:themeColor="text1"/>
          <w:sz w:val="32"/>
          <w:szCs w:val="32"/>
          <w:lang w:val="en-US"/>
          <w14:textFill>
            <w14:solidFill>
              <w14:schemeClr w14:val="tx1"/>
            </w14:solidFill>
          </w14:textFill>
        </w:rPr>
        <w:t>2024</w:t>
      </w:r>
      <w:r>
        <w:rPr>
          <w:rFonts w:hint="eastAsia" w:ascii="仿宋" w:hAnsi="仿宋" w:eastAsia="仿宋" w:cs="仿宋"/>
          <w:color w:val="000000" w:themeColor="text1"/>
          <w:sz w:val="32"/>
          <w:szCs w:val="32"/>
          <w14:textFill>
            <w14:solidFill>
              <w14:schemeClr w14:val="tx1"/>
            </w14:solidFill>
          </w14:textFill>
        </w:rPr>
        <w:t>年度相比，“三公”经费支出减少</w:t>
      </w:r>
      <w:r>
        <w:rPr>
          <w:rFonts w:hint="eastAsia" w:ascii="仿宋" w:hAnsi="仿宋" w:eastAsia="仿宋" w:cs="仿宋"/>
          <w:color w:val="000000" w:themeColor="text1"/>
          <w:sz w:val="32"/>
          <w:szCs w:val="32"/>
          <w:lang w:val="en-US" w:eastAsia="zh-CN"/>
          <w14:textFill>
            <w14:solidFill>
              <w14:schemeClr w14:val="tx1"/>
            </w14:solidFill>
          </w14:textFill>
        </w:rPr>
        <w:t>0.13</w:t>
      </w:r>
      <w:r>
        <w:rPr>
          <w:rFonts w:hint="eastAsia" w:ascii="仿宋" w:hAnsi="仿宋" w:eastAsia="仿宋" w:cs="仿宋"/>
          <w:color w:val="000000" w:themeColor="text1"/>
          <w:sz w:val="32"/>
          <w:szCs w:val="32"/>
          <w14:textFill>
            <w14:solidFill>
              <w14:schemeClr w14:val="tx1"/>
            </w14:solidFill>
          </w14:textFill>
        </w:rPr>
        <w:t>万元，下降</w:t>
      </w:r>
      <w:r>
        <w:rPr>
          <w:rFonts w:hint="eastAsia" w:ascii="仿宋" w:hAnsi="仿宋" w:eastAsia="仿宋" w:cs="仿宋"/>
          <w:color w:val="000000" w:themeColor="text1"/>
          <w:sz w:val="32"/>
          <w:szCs w:val="32"/>
          <w:lang w:val="en-US" w:eastAsia="zh-CN"/>
          <w14:textFill>
            <w14:solidFill>
              <w14:schemeClr w14:val="tx1"/>
            </w14:solidFill>
          </w14:textFill>
        </w:rPr>
        <w:t>10.83</w:t>
      </w:r>
      <w:r>
        <w:rPr>
          <w:rFonts w:hint="eastAsia" w:ascii="仿宋" w:hAnsi="仿宋" w:eastAsia="仿宋" w:cs="仿宋"/>
          <w:color w:val="000000" w:themeColor="text1"/>
          <w:sz w:val="32"/>
          <w:szCs w:val="32"/>
          <w14:textFill>
            <w14:solidFill>
              <w14:schemeClr w14:val="tx1"/>
            </w14:solidFill>
          </w14:textFill>
        </w:rPr>
        <w:t>%，主要原因是</w:t>
      </w:r>
      <w:r>
        <w:rPr>
          <w:rFonts w:hint="eastAsia" w:ascii="仿宋" w:hAnsi="仿宋" w:eastAsia="仿宋" w:cs="仿宋"/>
          <w:color w:val="000000" w:themeColor="text1"/>
          <w:sz w:val="32"/>
          <w:szCs w:val="32"/>
          <w:lang w:eastAsia="zh-CN"/>
          <w14:textFill>
            <w14:solidFill>
              <w14:schemeClr w14:val="tx1"/>
            </w14:solidFill>
          </w14:textFill>
        </w:rPr>
        <w:t>三公经费支出减少</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年度财政拨款“三公”经费支出决算中，因公出国（境）费</w:t>
      </w:r>
      <w:r>
        <w:rPr>
          <w:rFonts w:hint="eastAsia" w:ascii="仿宋" w:hAnsi="仿宋" w:eastAsia="仿宋" w:cs="仿宋"/>
          <w:color w:val="000000" w:themeColor="text1"/>
          <w:sz w:val="32"/>
          <w:szCs w:val="32"/>
          <w:lang w:val="en-US" w:eastAsia="zh-CN"/>
          <w14:textFill>
            <w14:solidFill>
              <w14:schemeClr w14:val="tx1"/>
            </w14:solidFill>
          </w14:textFill>
        </w:rPr>
        <w:t>用</w:t>
      </w:r>
      <w:r>
        <w:rPr>
          <w:rFonts w:hint="eastAsia" w:ascii="仿宋" w:hAnsi="仿宋" w:eastAsia="仿宋" w:cs="仿宋"/>
          <w:color w:val="000000" w:themeColor="text1"/>
          <w:sz w:val="32"/>
          <w:szCs w:val="32"/>
          <w14:textFill>
            <w14:solidFill>
              <w14:schemeClr w14:val="tx1"/>
            </w14:solidFill>
          </w14:textFill>
        </w:rPr>
        <w:t>支出决算</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%；公务用车购置及运行维护费支出决算</w:t>
      </w:r>
      <w:r>
        <w:rPr>
          <w:rFonts w:hint="eastAsia" w:ascii="仿宋" w:hAnsi="仿宋" w:eastAsia="仿宋" w:cs="仿宋"/>
          <w:color w:val="000000" w:themeColor="text1"/>
          <w:sz w:val="32"/>
          <w:szCs w:val="32"/>
          <w:lang w:val="en-US"/>
          <w14:textFill>
            <w14:solidFill>
              <w14:schemeClr w14:val="tx1"/>
            </w14:solidFill>
          </w14:textFill>
        </w:rPr>
        <w:t>1.20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%；公务接待费支出决算</w:t>
      </w:r>
      <w:r>
        <w:rPr>
          <w:rFonts w:hint="eastAsia" w:ascii="仿宋" w:hAnsi="仿宋" w:eastAsia="仿宋" w:cs="仿宋"/>
          <w:color w:val="000000" w:themeColor="text1"/>
          <w:sz w:val="32"/>
          <w:szCs w:val="32"/>
          <w:lang w:val="en-US"/>
          <w14:textFill>
            <w14:solidFill>
              <w14:schemeClr w14:val="tx1"/>
            </w14:solidFill>
          </w14:textFill>
        </w:rPr>
        <w:t>0.00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%。具体情况如下：</w:t>
      </w:r>
    </w:p>
    <w:p>
      <w:pPr>
        <w:spacing w:line="578" w:lineRule="exact"/>
        <w:ind w:firstLine="643"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1.因公出国（境）费</w:t>
      </w:r>
      <w:r>
        <w:rPr>
          <w:rFonts w:hint="eastAsia" w:ascii="仿宋" w:hAnsi="仿宋" w:eastAsia="仿宋" w:cs="仿宋"/>
          <w:b/>
          <w:color w:val="000000" w:themeColor="text1"/>
          <w:sz w:val="32"/>
          <w:szCs w:val="32"/>
          <w:highlight w:val="none"/>
          <w:lang w:eastAsia="zh-CN"/>
          <w14:textFill>
            <w14:solidFill>
              <w14:schemeClr w14:val="tx1"/>
            </w14:solidFill>
          </w14:textFill>
        </w:rPr>
        <w:t>用</w:t>
      </w:r>
      <w:r>
        <w:rPr>
          <w:rFonts w:hint="eastAsia" w:ascii="仿宋" w:hAnsi="仿宋" w:eastAsia="仿宋" w:cs="仿宋"/>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万元。全年安排因公出国（境）团组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个，因公出国（境）</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人次。开支内容包括：</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万元。主要用于</w:t>
      </w:r>
      <w:r>
        <w:rPr>
          <w:rFonts w:hint="eastAsia" w:ascii="仿宋" w:hAnsi="仿宋" w:eastAsia="仿宋" w:cs="仿宋"/>
          <w:color w:val="000000" w:themeColor="text1"/>
          <w:sz w:val="32"/>
          <w:szCs w:val="32"/>
          <w:highlight w:val="none"/>
          <w:lang w:eastAsia="zh-CN"/>
          <w14:textFill>
            <w14:solidFill>
              <w14:schemeClr w14:val="tx1"/>
            </w14:solidFill>
          </w14:textFill>
        </w:rPr>
        <w:t>无。</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因公出国（境）费</w:t>
      </w:r>
      <w:r>
        <w:rPr>
          <w:rFonts w:hint="eastAsia" w:ascii="仿宋" w:hAnsi="仿宋" w:eastAsia="仿宋" w:cs="仿宋"/>
          <w:color w:val="000000" w:themeColor="text1"/>
          <w:sz w:val="32"/>
          <w:szCs w:val="32"/>
          <w:highlight w:val="none"/>
          <w:lang w:eastAsia="zh-CN"/>
          <w14:textFill>
            <w14:solidFill>
              <w14:schemeClr w14:val="tx1"/>
            </w14:solidFill>
          </w14:textFill>
        </w:rPr>
        <w:t>用</w:t>
      </w:r>
      <w:r>
        <w:rPr>
          <w:rFonts w:hint="eastAsia" w:ascii="仿宋" w:hAnsi="仿宋" w:eastAsia="仿宋" w:cs="仿宋"/>
          <w:color w:val="000000" w:themeColor="text1"/>
          <w:sz w:val="32"/>
          <w:szCs w:val="32"/>
          <w:highlight w:val="none"/>
          <w14:textFill>
            <w14:solidFill>
              <w14:schemeClr w14:val="tx1"/>
            </w14:solidFill>
          </w14:textFill>
        </w:rPr>
        <w:t>支出决算</w:t>
      </w:r>
      <w:r>
        <w:rPr>
          <w:rFonts w:hint="eastAsia" w:ascii="仿宋" w:hAnsi="仿宋" w:eastAsia="仿宋" w:cs="仿宋"/>
          <w:color w:val="000000" w:themeColor="text1"/>
          <w:sz w:val="32"/>
          <w:szCs w:val="32"/>
          <w:highlight w:val="none"/>
          <w:lang w:eastAsia="zh-CN"/>
          <w14:textFill>
            <w14:solidFill>
              <w14:schemeClr w14:val="tx1"/>
            </w14:solidFill>
          </w14:textFill>
        </w:rPr>
        <w:t>数</w:t>
      </w:r>
      <w:r>
        <w:rPr>
          <w:rFonts w:hint="eastAsia" w:ascii="仿宋" w:hAnsi="仿宋" w:eastAsia="仿宋" w:cs="仿宋"/>
          <w:color w:val="000000" w:themeColor="text1"/>
          <w:sz w:val="32"/>
          <w:szCs w:val="32"/>
          <w:highlight w:val="none"/>
          <w14:textFill>
            <w14:solidFill>
              <w14:schemeClr w14:val="tx1"/>
            </w14:solidFill>
          </w14:textFill>
        </w:rPr>
        <w:t>比预算数增加（减少）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%。与202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年度相比，因公出国（境）费</w:t>
      </w:r>
      <w:r>
        <w:rPr>
          <w:rFonts w:hint="eastAsia" w:ascii="仿宋" w:hAnsi="仿宋" w:eastAsia="仿宋" w:cs="仿宋"/>
          <w:color w:val="000000" w:themeColor="text1"/>
          <w:sz w:val="32"/>
          <w:szCs w:val="32"/>
          <w:highlight w:val="none"/>
          <w:lang w:eastAsia="zh-CN"/>
          <w14:textFill>
            <w14:solidFill>
              <w14:schemeClr w14:val="tx1"/>
            </w14:solidFill>
          </w14:textFill>
        </w:rPr>
        <w:t>用</w:t>
      </w:r>
      <w:r>
        <w:rPr>
          <w:rFonts w:hint="eastAsia" w:ascii="仿宋" w:hAnsi="仿宋" w:eastAsia="仿宋" w:cs="仿宋"/>
          <w:color w:val="000000" w:themeColor="text1"/>
          <w:sz w:val="32"/>
          <w:szCs w:val="32"/>
          <w:highlight w:val="none"/>
          <w14:textFill>
            <w14:solidFill>
              <w14:schemeClr w14:val="tx1"/>
            </w14:solidFill>
          </w14:textFill>
        </w:rPr>
        <w:t>支出增加（减少）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万元，增长（下降）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本年度无因公出国（境）费用</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3"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2.公务用车购置及运行维护费</w:t>
      </w:r>
      <w:r>
        <w:rPr>
          <w:rFonts w:hint="eastAsia" w:ascii="仿宋" w:hAnsi="仿宋" w:eastAsia="仿宋" w:cs="仿宋"/>
          <w:b w:val="0"/>
          <w:bCs/>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14:textFill>
            <w14:solidFill>
              <w14:schemeClr w14:val="tx1"/>
            </w14:solidFill>
          </w14:textFill>
        </w:rPr>
        <w:t>万元。其中：</w:t>
      </w:r>
    </w:p>
    <w:p>
      <w:pPr>
        <w:spacing w:line="578" w:lineRule="exact"/>
        <w:ind w:firstLine="643"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公务用车购置</w:t>
      </w:r>
      <w:r>
        <w:rPr>
          <w:rFonts w:hint="eastAsia" w:ascii="仿宋" w:hAnsi="仿宋" w:eastAsia="仿宋" w:cs="仿宋"/>
          <w:b w:val="0"/>
          <w:bCs/>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万元，全年购置公务用车</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辆，主要用于</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，年末公务用车保有量</w:t>
      </w:r>
      <w:r>
        <w:rPr>
          <w:rFonts w:hint="eastAsia" w:ascii="仿宋" w:hAnsi="仿宋" w:eastAsia="仿宋" w:cs="仿宋"/>
          <w:color w:val="000000" w:themeColor="text1"/>
          <w:sz w:val="32"/>
          <w:szCs w:val="32"/>
          <w:highlight w:val="none"/>
          <w:lang w:val="en-US" w:eastAsia="zh-CN"/>
          <w14:textFill>
            <w14:solidFill>
              <w14:schemeClr w14:val="tx1"/>
            </w14:solidFill>
          </w14:textFill>
        </w:rPr>
        <w:t>1</w:t>
      </w:r>
      <w:r>
        <w:rPr>
          <w:rFonts w:hint="eastAsia" w:ascii="仿宋" w:hAnsi="仿宋" w:eastAsia="仿宋" w:cs="仿宋"/>
          <w:color w:val="000000" w:themeColor="text1"/>
          <w:sz w:val="32"/>
          <w:szCs w:val="32"/>
          <w:highlight w:val="none"/>
          <w14:textFill>
            <w14:solidFill>
              <w14:schemeClr w14:val="tx1"/>
            </w14:solidFill>
          </w14:textFill>
        </w:rPr>
        <w:t>辆。</w:t>
      </w:r>
    </w:p>
    <w:p>
      <w:pPr>
        <w:spacing w:line="578" w:lineRule="exact"/>
        <w:ind w:firstLine="643"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公务用车运行维护费</w:t>
      </w:r>
      <w:r>
        <w:rPr>
          <w:rFonts w:hint="eastAsia" w:ascii="仿宋" w:hAnsi="仿宋" w:eastAsia="仿宋" w:cs="仿宋"/>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14:textFill>
            <w14:solidFill>
              <w14:schemeClr w14:val="tx1"/>
            </w14:solidFill>
          </w14:textFill>
        </w:rPr>
        <w:t>万元，主要用于</w:t>
      </w:r>
      <w:r>
        <w:rPr>
          <w:rFonts w:hint="eastAsia" w:ascii="仿宋_GB2312" w:hAnsi="ˎ̥" w:eastAsia="仿宋_GB2312"/>
          <w:color w:val="000000" w:themeColor="text1"/>
          <w:sz w:val="32"/>
          <w:szCs w:val="32"/>
          <w:lang w:eastAsia="zh-CN"/>
          <w14:textFill>
            <w14:solidFill>
              <w14:schemeClr w14:val="tx1"/>
            </w14:solidFill>
          </w14:textFill>
        </w:rPr>
        <w:t>公务车维修及保险，还有燃料费</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 w:hAnsi="仿宋" w:eastAsia="仿宋" w:cs="仿宋"/>
          <w:bCs/>
          <w:color w:val="000000" w:themeColor="text1"/>
          <w:sz w:val="32"/>
          <w:szCs w:val="32"/>
          <w:highlight w:val="none"/>
          <w14:textFill>
            <w14:solidFill>
              <w14:schemeClr w14:val="tx1"/>
            </w14:solidFill>
          </w14:textFill>
        </w:rPr>
      </w:pPr>
      <w:r>
        <w:rPr>
          <w:rFonts w:hint="eastAsia" w:ascii="仿宋" w:hAnsi="仿宋" w:eastAsia="仿宋" w:cs="仿宋"/>
          <w:bCs/>
          <w:color w:val="000000" w:themeColor="text1"/>
          <w:sz w:val="32"/>
          <w:szCs w:val="32"/>
          <w:highlight w:val="none"/>
          <w14:textFill>
            <w14:solidFill>
              <w14:schemeClr w14:val="tx1"/>
            </w14:solidFill>
          </w14:textFill>
        </w:rPr>
        <w:t>公务用车购置及运行维护费支出决算数</w:t>
      </w:r>
      <w:r>
        <w:rPr>
          <w:rFonts w:hint="eastAsia" w:ascii="仿宋" w:hAnsi="仿宋" w:eastAsia="仿宋" w:cs="仿宋"/>
          <w:color w:val="000000" w:themeColor="text1"/>
          <w:sz w:val="32"/>
          <w:szCs w:val="32"/>
          <w:highlight w:val="none"/>
          <w14:textFill>
            <w14:solidFill>
              <w14:schemeClr w14:val="tx1"/>
            </w14:solidFill>
          </w14:textFill>
        </w:rPr>
        <w:t>比预算数</w:t>
      </w:r>
      <w:r>
        <w:rPr>
          <w:rFonts w:hint="eastAsia" w:ascii="仿宋" w:hAnsi="仿宋" w:eastAsia="仿宋" w:cs="仿宋"/>
          <w:color w:val="000000" w:themeColor="text1"/>
          <w:sz w:val="32"/>
          <w:szCs w:val="32"/>
          <w:highlight w:val="none"/>
          <w:lang w:eastAsia="zh-CN"/>
          <w14:textFill>
            <w14:solidFill>
              <w14:schemeClr w14:val="tx1"/>
            </w14:solidFill>
          </w14:textFill>
        </w:rPr>
        <w:t>持平</w:t>
      </w:r>
      <w:r>
        <w:rPr>
          <w:rFonts w:hint="eastAsia" w:ascii="仿宋" w:hAnsi="仿宋" w:eastAsia="仿宋" w:cs="仿宋"/>
          <w:color w:val="000000" w:themeColor="text1"/>
          <w:sz w:val="32"/>
          <w:szCs w:val="32"/>
          <w:highlight w:val="none"/>
          <w14:textFill>
            <w14:solidFill>
              <w14:schemeClr w14:val="tx1"/>
            </w14:solidFill>
          </w14:textFill>
        </w:rPr>
        <w:t>，完成预算的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100</w:t>
      </w:r>
      <w:r>
        <w:rPr>
          <w:rFonts w:hint="eastAsia" w:ascii="仿宋" w:hAnsi="仿宋" w:eastAsia="仿宋" w:cs="仿宋"/>
          <w:color w:val="000000" w:themeColor="text1"/>
          <w:sz w:val="32"/>
          <w:szCs w:val="32"/>
          <w:highlight w:val="none"/>
          <w14:textFill>
            <w14:solidFill>
              <w14:schemeClr w14:val="tx1"/>
            </w14:solidFill>
          </w14:textFill>
        </w:rPr>
        <w:t>%。与202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年度相比，</w:t>
      </w:r>
      <w:r>
        <w:rPr>
          <w:rFonts w:hint="eastAsia" w:ascii="仿宋" w:hAnsi="仿宋" w:eastAsia="仿宋" w:cs="仿宋"/>
          <w:bCs/>
          <w:color w:val="000000" w:themeColor="text1"/>
          <w:sz w:val="32"/>
          <w:szCs w:val="32"/>
          <w:highlight w:val="none"/>
          <w14:textFill>
            <w14:solidFill>
              <w14:schemeClr w14:val="tx1"/>
            </w14:solidFill>
          </w14:textFill>
        </w:rPr>
        <w:t>公务用车购置及运行维护费</w:t>
      </w:r>
      <w:r>
        <w:rPr>
          <w:rFonts w:hint="eastAsia" w:ascii="仿宋" w:hAnsi="仿宋" w:eastAsia="仿宋" w:cs="仿宋"/>
          <w:color w:val="000000" w:themeColor="text1"/>
          <w:sz w:val="32"/>
          <w:szCs w:val="32"/>
          <w:highlight w:val="none"/>
          <w14:textFill>
            <w14:solidFill>
              <w14:schemeClr w14:val="tx1"/>
            </w14:solidFill>
          </w14:textFill>
        </w:rPr>
        <w:t>支出减少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0.04</w:t>
      </w:r>
      <w:r>
        <w:rPr>
          <w:rFonts w:hint="eastAsia" w:ascii="仿宋" w:hAnsi="仿宋" w:eastAsia="仿宋" w:cs="仿宋"/>
          <w:color w:val="000000" w:themeColor="text1"/>
          <w:sz w:val="32"/>
          <w:szCs w:val="32"/>
          <w:highlight w:val="none"/>
          <w14:textFill>
            <w14:solidFill>
              <w14:schemeClr w14:val="tx1"/>
            </w14:solidFill>
          </w14:textFill>
        </w:rPr>
        <w:t>万元，下降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3.23</w:t>
      </w:r>
      <w:r>
        <w:rPr>
          <w:rFonts w:hint="eastAsia" w:ascii="仿宋" w:hAnsi="仿宋" w:eastAsia="仿宋" w:cs="仿宋"/>
          <w:color w:val="000000" w:themeColor="text1"/>
          <w:sz w:val="32"/>
          <w:szCs w:val="32"/>
          <w:highlight w:val="none"/>
          <w14:textFill>
            <w14:solidFill>
              <w14:schemeClr w14:val="tx1"/>
            </w14:solidFill>
          </w14:textFill>
        </w:rPr>
        <w:t>%，主要原因是</w:t>
      </w:r>
      <w:r>
        <w:rPr>
          <w:rFonts w:hint="eastAsia" w:ascii="仿宋_GB2312" w:hAnsi="ˎ̥" w:eastAsia="仿宋_GB2312"/>
          <w:color w:val="000000" w:themeColor="text1"/>
          <w:sz w:val="32"/>
          <w:szCs w:val="32"/>
          <w:lang w:eastAsia="zh-CN"/>
          <w14:textFill>
            <w14:solidFill>
              <w14:schemeClr w14:val="tx1"/>
            </w14:solidFill>
          </w14:textFill>
        </w:rPr>
        <w:t>公务车维修及保险，还有燃料费减少</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3"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3.公务接待费</w:t>
      </w:r>
      <w:r>
        <w:rPr>
          <w:rFonts w:hint="eastAsia" w:ascii="仿宋" w:hAnsi="仿宋" w:eastAsia="仿宋" w:cs="仿宋"/>
          <w:b w:val="0"/>
          <w:bCs/>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万元，其中：</w:t>
      </w:r>
    </w:p>
    <w:p>
      <w:pPr>
        <w:spacing w:line="578" w:lineRule="exact"/>
        <w:ind w:firstLine="643"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国内接待费</w:t>
      </w:r>
      <w:r>
        <w:rPr>
          <w:rFonts w:hint="eastAsia" w:ascii="仿宋" w:hAnsi="仿宋" w:eastAsia="仿宋" w:cs="仿宋"/>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万元，国内公务接待</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批次，接待</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人次；主要用于</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3"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bCs/>
          <w:color w:val="000000" w:themeColor="text1"/>
          <w:sz w:val="32"/>
          <w:szCs w:val="32"/>
          <w:highlight w:val="none"/>
          <w14:textFill>
            <w14:solidFill>
              <w14:schemeClr w14:val="tx1"/>
            </w14:solidFill>
          </w14:textFill>
        </w:rPr>
        <w:t>国（境）外接待费</w:t>
      </w:r>
      <w:r>
        <w:rPr>
          <w:rFonts w:hint="eastAsia" w:ascii="仿宋" w:hAnsi="仿宋" w:eastAsia="仿宋" w:cs="仿宋"/>
          <w:color w:val="000000" w:themeColor="text1"/>
          <w:sz w:val="32"/>
          <w:szCs w:val="32"/>
          <w:highlight w:val="none"/>
          <w14:textFill>
            <w14:solidFill>
              <w14:schemeClr w14:val="tx1"/>
            </w14:solidFill>
          </w14:textFill>
        </w:rPr>
        <w:t>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万元，国（境）外公务接待</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批次，接待</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人次；主要用于</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公务接待费支出决算数比预算数增加（减少）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万元，完成预算的</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%。与202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14:textFill>
            <w14:solidFill>
              <w14:schemeClr w14:val="tx1"/>
            </w14:solidFill>
          </w14:textFill>
        </w:rPr>
        <w:t>年度相比，</w:t>
      </w:r>
      <w:r>
        <w:rPr>
          <w:rFonts w:hint="eastAsia" w:ascii="仿宋" w:hAnsi="仿宋" w:eastAsia="仿宋" w:cs="仿宋"/>
          <w:bCs/>
          <w:color w:val="000000" w:themeColor="text1"/>
          <w:sz w:val="32"/>
          <w:szCs w:val="32"/>
          <w:highlight w:val="none"/>
          <w14:textFill>
            <w14:solidFill>
              <w14:schemeClr w14:val="tx1"/>
            </w14:solidFill>
          </w14:textFill>
        </w:rPr>
        <w:t>公务接待费</w:t>
      </w:r>
      <w:r>
        <w:rPr>
          <w:rFonts w:hint="eastAsia" w:ascii="仿宋" w:hAnsi="仿宋" w:eastAsia="仿宋" w:cs="仿宋"/>
          <w:color w:val="000000" w:themeColor="text1"/>
          <w:sz w:val="32"/>
          <w:szCs w:val="32"/>
          <w:highlight w:val="none"/>
          <w14:textFill>
            <w14:solidFill>
              <w14:schemeClr w14:val="tx1"/>
            </w14:solidFill>
          </w14:textFill>
        </w:rPr>
        <w:t>支出增加（减少）</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万元，增长（下降）</w:t>
      </w:r>
      <w:r>
        <w:rPr>
          <w:rFonts w:hint="eastAsia" w:ascii="仿宋" w:hAnsi="仿宋" w:eastAsia="仿宋" w:cs="仿宋"/>
          <w:color w:val="000000" w:themeColor="text1"/>
          <w:sz w:val="32"/>
          <w:szCs w:val="32"/>
          <w:highlight w:val="none"/>
          <w:lang w:val="en-US" w:eastAsia="zh-CN"/>
          <w14:textFill>
            <w14:solidFill>
              <w14:schemeClr w14:val="tx1"/>
            </w14:solidFill>
          </w14:textFill>
        </w:rPr>
        <w:t>0</w:t>
      </w:r>
      <w:r>
        <w:rPr>
          <w:rFonts w:hint="eastAsia" w:ascii="仿宋" w:hAnsi="仿宋" w:eastAsia="仿宋" w:cs="仿宋"/>
          <w:color w:val="000000" w:themeColor="text1"/>
          <w:sz w:val="32"/>
          <w:szCs w:val="32"/>
          <w:highlight w:val="none"/>
          <w14:textFill>
            <w14:solidFill>
              <w14:schemeClr w14:val="tx1"/>
            </w14:solidFill>
          </w14:textFill>
        </w:rPr>
        <w:t>%，主要原因是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无</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根据财政预算绩效管理要求，可按照如下格式说明：根据预算管理要求，我部门（单位）组织对</w:t>
      </w: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年度一般公共预算项目支出全面开展绩效自评</w:t>
      </w:r>
      <w:r>
        <w:rPr>
          <w:rFonts w:hint="eastAsia" w:ascii="仿宋" w:hAnsi="仿宋" w:eastAsia="仿宋" w:cs="仿宋"/>
          <w:color w:val="000000" w:themeColor="text1"/>
          <w:sz w:val="32"/>
          <w:szCs w:val="32"/>
          <w:lang w:val="en-US"/>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共涉及资金12，694.45万元，占一般公共预算项目支出总额的100%</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bidi="ar"/>
          <w14:textFill>
            <w14:solidFill>
              <w14:schemeClr w14:val="tx1"/>
            </w14:solidFill>
          </w14:textFill>
        </w:rPr>
        <w:t>组织对</w:t>
      </w:r>
      <w:r>
        <w:rPr>
          <w:rFonts w:hint="eastAsia" w:ascii="仿宋" w:hAnsi="仿宋" w:eastAsia="仿宋" w:cs="仿宋"/>
          <w:color w:val="000000" w:themeColor="text1"/>
          <w:sz w:val="32"/>
          <w:szCs w:val="32"/>
          <w:lang w:val="en-US" w:bidi="ar"/>
          <w14:textFill>
            <w14:solidFill>
              <w14:schemeClr w14:val="tx1"/>
            </w14:solidFill>
          </w14:textFill>
        </w:rPr>
        <w:t>2025</w:t>
      </w:r>
      <w:r>
        <w:rPr>
          <w:rFonts w:hint="eastAsia" w:ascii="仿宋" w:hAnsi="仿宋" w:eastAsia="仿宋" w:cs="仿宋"/>
          <w:color w:val="000000" w:themeColor="text1"/>
          <w:sz w:val="32"/>
          <w:szCs w:val="32"/>
          <w:lang w:bidi="ar"/>
          <w14:textFill>
            <w14:solidFill>
              <w14:schemeClr w14:val="tx1"/>
            </w14:solidFill>
          </w14:textFill>
        </w:rPr>
        <w:t>年度</w:t>
      </w:r>
      <w:r>
        <w:rPr>
          <w:rFonts w:hint="eastAsia" w:ascii="仿宋" w:hAnsi="仿宋" w:eastAsia="仿宋" w:cs="仿宋"/>
          <w:color w:val="000000" w:themeColor="text1"/>
          <w:sz w:val="32"/>
          <w:szCs w:val="32"/>
          <w:lang w:eastAsia="zh-CN" w:bidi="ar"/>
          <w14:textFill>
            <w14:solidFill>
              <w14:schemeClr w14:val="tx1"/>
            </w14:solidFill>
          </w14:textFill>
        </w:rPr>
        <w:t>无</w:t>
      </w:r>
      <w:r>
        <w:rPr>
          <w:rFonts w:hint="eastAsia" w:ascii="仿宋" w:hAnsi="仿宋" w:eastAsia="仿宋" w:cs="仿宋"/>
          <w:color w:val="000000" w:themeColor="text1"/>
          <w:sz w:val="32"/>
          <w:szCs w:val="32"/>
          <w:lang w:bidi="ar"/>
          <w14:textFill>
            <w14:solidFill>
              <w14:schemeClr w14:val="tx1"/>
            </w14:solidFill>
          </w14:textFill>
        </w:rPr>
        <w:t>等</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个政府性基金预算项目开展绩效自评，共涉及资金</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万元，占政府性基金预算项目支出总额的</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%。组织对</w:t>
      </w:r>
      <w:r>
        <w:rPr>
          <w:rFonts w:hint="eastAsia" w:ascii="仿宋" w:hAnsi="仿宋" w:eastAsia="仿宋" w:cs="仿宋"/>
          <w:color w:val="000000" w:themeColor="text1"/>
          <w:sz w:val="32"/>
          <w:szCs w:val="32"/>
          <w:lang w:val="en-US" w:bidi="ar"/>
          <w14:textFill>
            <w14:solidFill>
              <w14:schemeClr w14:val="tx1"/>
            </w14:solidFill>
          </w14:textFill>
        </w:rPr>
        <w:t>2025</w:t>
      </w:r>
      <w:r>
        <w:rPr>
          <w:rFonts w:hint="eastAsia" w:ascii="仿宋" w:hAnsi="仿宋" w:eastAsia="仿宋" w:cs="仿宋"/>
          <w:color w:val="000000" w:themeColor="text1"/>
          <w:sz w:val="32"/>
          <w:szCs w:val="32"/>
          <w:lang w:bidi="ar"/>
          <w14:textFill>
            <w14:solidFill>
              <w14:schemeClr w14:val="tx1"/>
            </w14:solidFill>
          </w14:textFill>
        </w:rPr>
        <w:t>年度</w:t>
      </w:r>
      <w:r>
        <w:rPr>
          <w:rFonts w:hint="eastAsia" w:ascii="仿宋" w:hAnsi="仿宋" w:eastAsia="仿宋" w:cs="仿宋"/>
          <w:color w:val="000000" w:themeColor="text1"/>
          <w:sz w:val="32"/>
          <w:szCs w:val="32"/>
          <w:lang w:eastAsia="zh-CN" w:bidi="ar"/>
          <w14:textFill>
            <w14:solidFill>
              <w14:schemeClr w14:val="tx1"/>
            </w14:solidFill>
          </w14:textFill>
        </w:rPr>
        <w:t>无</w:t>
      </w:r>
      <w:r>
        <w:rPr>
          <w:rFonts w:hint="eastAsia" w:ascii="仿宋" w:hAnsi="仿宋" w:eastAsia="仿宋" w:cs="仿宋"/>
          <w:color w:val="000000" w:themeColor="text1"/>
          <w:sz w:val="32"/>
          <w:szCs w:val="32"/>
          <w:lang w:bidi="ar"/>
          <w14:textFill>
            <w14:solidFill>
              <w14:schemeClr w14:val="tx1"/>
            </w14:solidFill>
          </w14:textFill>
        </w:rPr>
        <w:t>等</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个国有资本经营预算项目开展绩效自评，共涉及资金</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万元，占国有资本经营预算项目支出总额的</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共组织对“</w:t>
      </w:r>
      <w:r>
        <w:rPr>
          <w:rFonts w:hint="eastAsia" w:ascii="仿宋" w:hAnsi="仿宋" w:eastAsia="仿宋" w:cs="仿宋"/>
          <w:color w:val="000000" w:themeColor="text1"/>
          <w:sz w:val="32"/>
          <w:szCs w:val="32"/>
          <w:lang w:val="en-US" w:eastAsia="zh-CN"/>
          <w14:textFill>
            <w14:solidFill>
              <w14:schemeClr w14:val="tx1"/>
            </w14:solidFill>
          </w14:textFill>
        </w:rPr>
        <w:t>无</w:t>
      </w:r>
      <w:r>
        <w:rPr>
          <w:rFonts w:hint="eastAsia" w:ascii="仿宋" w:hAnsi="仿宋" w:eastAsia="仿宋" w:cs="仿宋"/>
          <w:color w:val="000000" w:themeColor="text1"/>
          <w:sz w:val="32"/>
          <w:szCs w:val="32"/>
          <w14:textFill>
            <w14:solidFill>
              <w14:schemeClr w14:val="tx1"/>
            </w14:solidFill>
          </w14:textFill>
        </w:rPr>
        <w:t>”等</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个项目开展了部门评价，</w:t>
      </w:r>
      <w:r>
        <w:rPr>
          <w:rFonts w:hint="eastAsia" w:ascii="仿宋" w:hAnsi="仿宋" w:eastAsia="仿宋" w:cs="仿宋"/>
          <w:color w:val="000000" w:themeColor="text1"/>
          <w:sz w:val="32"/>
          <w:szCs w:val="32"/>
          <w:lang w:bidi="ar"/>
          <w14:textFill>
            <w14:solidFill>
              <w14:schemeClr w14:val="tx1"/>
            </w14:solidFill>
          </w14:textFill>
        </w:rPr>
        <w:t>涉及一般公共预算支出</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万元，政府性基金预算支出</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万元，国有资本经营预算支出</w:t>
      </w:r>
      <w:r>
        <w:rPr>
          <w:rFonts w:hint="eastAsia" w:ascii="仿宋" w:hAnsi="仿宋" w:eastAsia="仿宋" w:cs="仿宋"/>
          <w:color w:val="000000" w:themeColor="text1"/>
          <w:sz w:val="32"/>
          <w:szCs w:val="32"/>
          <w:lang w:val="en-US" w:eastAsia="zh-CN" w:bidi="ar"/>
          <w14:textFill>
            <w14:solidFill>
              <w14:schemeClr w14:val="tx1"/>
            </w14:solidFill>
          </w14:textFill>
        </w:rPr>
        <w:t>0</w:t>
      </w:r>
      <w:r>
        <w:rPr>
          <w:rFonts w:hint="eastAsia" w:ascii="仿宋" w:hAnsi="仿宋" w:eastAsia="仿宋" w:cs="仿宋"/>
          <w:color w:val="000000" w:themeColor="text1"/>
          <w:sz w:val="32"/>
          <w:szCs w:val="32"/>
          <w:lang w:bidi="ar"/>
          <w14:textFill>
            <w14:solidFill>
              <w14:schemeClr w14:val="tx1"/>
            </w14:solidFill>
          </w14:textFill>
        </w:rPr>
        <w:t>万元。</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（二）部门决算中项目绩效自评结果（预算部门、单位可根据实际情况反映重点项目绩效自评结果）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参照如下格式说明（表述应与决算内容保持一致）：我部门（单位）在部门决算中反映</w:t>
      </w:r>
      <w:r>
        <w:rPr>
          <w:rFonts w:hint="eastAsia" w:ascii="仿宋" w:hAnsi="仿宋" w:eastAsia="仿宋" w:cs="仿宋"/>
          <w:color w:val="000000" w:themeColor="text1"/>
          <w:sz w:val="32"/>
          <w:szCs w:val="32"/>
          <w:lang w:val="en-US" w:eastAsia="zh-CN"/>
          <w14:textFill>
            <w14:solidFill>
              <w14:schemeClr w14:val="tx1"/>
            </w14:solidFill>
          </w14:textFill>
        </w:rPr>
        <w:t>无</w:t>
      </w:r>
      <w:r>
        <w:rPr>
          <w:rFonts w:hint="eastAsia" w:ascii="仿宋" w:hAnsi="仿宋" w:eastAsia="仿宋" w:cs="仿宋"/>
          <w:color w:val="000000" w:themeColor="text1"/>
          <w:sz w:val="32"/>
          <w:szCs w:val="32"/>
          <w14:textFill>
            <w14:solidFill>
              <w14:schemeClr w14:val="tx1"/>
            </w14:solidFill>
          </w14:textFill>
        </w:rPr>
        <w:t>等</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个项目绩效自评结果（包括项目绩效自评表和项目绩效自评报告）。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（三）部门评价结果（预算部门填写，部门所属单位不需填写）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highlight w:val="yellow"/>
          <w14:textFill>
            <w14:solidFill>
              <w14:schemeClr w14:val="tx1"/>
            </w14:solidFill>
          </w14:textFill>
        </w:rPr>
      </w:pPr>
      <w:r>
        <w:rPr>
          <w:rFonts w:hint="eastAsia" w:ascii="仿宋" w:hAnsi="仿宋" w:eastAsia="仿宋" w:cs="仿宋"/>
          <w:color w:val="000000" w:themeColor="text1"/>
          <w:kern w:val="0"/>
          <w:sz w:val="32"/>
          <w:szCs w:val="32"/>
          <w:highlight w:val="none"/>
          <w:lang w:bidi="ar"/>
          <w14:textFill>
            <w14:solidFill>
              <w14:schemeClr w14:val="tx1"/>
            </w14:solidFill>
          </w14:textFill>
        </w:rPr>
        <w:t>部门评价项目数量在3个以内的，至少将1个部门评价报告向社会公开；部门评价项目数量大于3个的，至少将2个部门评价报告向社会公开。</w:t>
      </w:r>
      <w:r>
        <w:rPr>
          <w:rFonts w:hint="eastAsia" w:ascii="仿宋" w:hAnsi="仿宋" w:eastAsia="仿宋" w:cs="仿宋"/>
          <w:color w:val="000000" w:themeColor="text1"/>
          <w:sz w:val="32"/>
          <w:szCs w:val="32"/>
          <w:highlight w:val="none"/>
          <w14:textFill>
            <w14:solidFill>
              <w14:schemeClr w14:val="tx1"/>
            </w14:solidFill>
          </w14:textFill>
        </w:rPr>
        <w:t>报告框架可参照《海南省财政厅关于优化完善预算绩效管理制度机制支持零基预算改革有效开展的通知》（琼财绩〔2025〕527号）</w:t>
      </w:r>
      <w:r>
        <w:rPr>
          <w:rFonts w:hint="eastAsia" w:ascii="仿宋" w:hAnsi="仿宋" w:eastAsia="仿宋" w:cs="仿宋"/>
          <w:color w:val="000000" w:themeColor="text1"/>
          <w:sz w:val="32"/>
          <w:szCs w:val="32"/>
          <w:highlight w:val="none"/>
          <w:lang w:eastAsia="zh-CN"/>
          <w14:textFill>
            <w14:solidFill>
              <w14:schemeClr w14:val="tx1"/>
            </w14:solidFill>
          </w14:textFill>
        </w:rPr>
        <w:t>的</w:t>
      </w:r>
      <w:r>
        <w:rPr>
          <w:rFonts w:hint="eastAsia" w:ascii="仿宋" w:hAnsi="仿宋" w:eastAsia="仿宋" w:cs="仿宋"/>
          <w:color w:val="000000" w:themeColor="text1"/>
          <w:sz w:val="32"/>
          <w:szCs w:val="32"/>
          <w:highlight w:val="none"/>
          <w14:textFill>
            <w14:solidFill>
              <w14:schemeClr w14:val="tx1"/>
            </w14:solidFill>
          </w14:textFill>
        </w:rPr>
        <w:t>附件4</w:t>
      </w:r>
      <w:r>
        <w:rPr>
          <w:rFonts w:hint="eastAsia" w:ascii="仿宋" w:hAnsi="仿宋" w:eastAsia="仿宋" w:cs="仿宋"/>
          <w:color w:val="000000" w:themeColor="text1"/>
          <w:sz w:val="32"/>
          <w:szCs w:val="32"/>
          <w:highlight w:val="none"/>
          <w:lang w:eastAsia="zh-CN"/>
          <w14:textFill>
            <w14:solidFill>
              <w14:schemeClr w14:val="tx1"/>
            </w14:solidFill>
          </w14:textFill>
        </w:rPr>
        <w:t>填写</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（四）财政评价结果（如有）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lang w:val="zh-CN"/>
          <w14:textFill>
            <w14:solidFill>
              <w14:schemeClr w14:val="tx1"/>
            </w14:solidFill>
          </w14:textFill>
        </w:rPr>
      </w:pPr>
      <w:r>
        <w:rPr>
          <w:rFonts w:hint="eastAsia" w:ascii="仿宋" w:hAnsi="仿宋" w:eastAsia="仿宋" w:cs="仿宋"/>
          <w:color w:val="000000" w:themeColor="text1"/>
          <w:sz w:val="32"/>
          <w:szCs w:val="32"/>
          <w:lang w:val="zh-CN"/>
          <w14:textFill>
            <w14:solidFill>
              <w14:schemeClr w14:val="tx1"/>
            </w14:solidFill>
          </w14:textFill>
        </w:rPr>
        <w:t>反映财政部门组织开展的预算部门（单位）重点项目财政评价情况，如有，可将评价报告附后。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lang w:val="zh-CN"/>
          <w14:textFill>
            <w14:solidFill>
              <w14:schemeClr w14:val="tx1"/>
            </w14:solidFill>
          </w14:textFill>
        </w:rPr>
      </w:pPr>
      <w:r>
        <w:rPr>
          <w:rFonts w:hint="eastAsia" w:ascii="黑体" w:hAnsi="黑体" w:eastAsia="黑体" w:cs="黑体"/>
          <w:bCs/>
          <w:color w:val="000000" w:themeColor="text1"/>
          <w:sz w:val="32"/>
          <w:szCs w:val="32"/>
          <w:lang w:val="zh-CN"/>
          <w14:textFill>
            <w14:solidFill>
              <w14:schemeClr w14:val="tx1"/>
            </w14:solidFill>
          </w14:textFill>
        </w:rPr>
        <w:t>十一、落实习惯过紧日子要求、保障重点支出情况说明</w:t>
      </w:r>
    </w:p>
    <w:p>
      <w:pPr>
        <w:spacing w:line="578" w:lineRule="exact"/>
        <w:ind w:firstLine="640" w:firstLineChars="200"/>
        <w:rPr>
          <w:rFonts w:hint="eastAsia" w:ascii="仿宋" w:hAnsi="仿宋" w:eastAsia="仿宋" w:cs="仿宋"/>
          <w:color w:val="000000" w:themeColor="text1"/>
          <w:sz w:val="32"/>
          <w:szCs w:val="32"/>
          <w:lang w:val="zh-CN"/>
          <w14:textFill>
            <w14:solidFill>
              <w14:schemeClr w14:val="tx1"/>
            </w14:solidFill>
          </w14:textFill>
        </w:rPr>
      </w:pPr>
      <w:r>
        <w:rPr>
          <w:rFonts w:hint="eastAsia" w:ascii="仿宋" w:hAnsi="仿宋" w:eastAsia="仿宋" w:cs="仿宋"/>
          <w:b w:val="0"/>
          <w:bCs w:val="0"/>
          <w:color w:val="000000" w:themeColor="text1"/>
          <w:sz w:val="32"/>
          <w:szCs w:val="32"/>
          <w:highlight w:val="none"/>
          <w:u w:val="none"/>
          <w:lang w:val="zh-CN" w:eastAsia="zh-CN"/>
          <w14:textFill>
            <w14:solidFill>
              <w14:schemeClr w14:val="tx1"/>
            </w14:solidFill>
          </w14:textFill>
        </w:rPr>
        <w:t>进一步细化关于部门决算收支情况公开信息说明内容，部门应当在财政拨款收支情况说明中全面反映贯彻落实习惯过紧日子要求，2025年主要任务和重点支出等情况。一是</w:t>
      </w:r>
      <w:r>
        <w:rPr>
          <w:rFonts w:hint="eastAsia" w:ascii="仿宋" w:hAnsi="仿宋" w:eastAsia="仿宋" w:cs="仿宋"/>
          <w:color w:val="000000" w:themeColor="text1"/>
          <w:sz w:val="32"/>
          <w:szCs w:val="32"/>
          <w:highlight w:val="none"/>
          <w:u w:val="none"/>
          <w:lang w:val="zh-CN" w:eastAsia="zh-CN"/>
          <w14:textFill>
            <w14:solidFill>
              <w14:schemeClr w14:val="tx1"/>
            </w14:solidFill>
          </w14:textFill>
        </w:rPr>
        <w:t>在一般公共预算和政府性基金预算支出情况说明中增加贯彻</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落实</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习惯</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过紧日子</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要求、合理保障重点支出</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情况</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说明</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。参考格式：</w:t>
      </w:r>
      <w:r>
        <w:rPr>
          <w:rFonts w:hint="eastAsia" w:ascii="仿宋" w:hAnsi="仿宋" w:eastAsia="仿宋" w:cs="仿宋"/>
          <w:color w:val="000000" w:themeColor="text1"/>
          <w:sz w:val="32"/>
          <w:szCs w:val="32"/>
          <w:highlight w:val="none"/>
          <w:u w:val="none"/>
          <w:lang w:val="zh-CN" w:eastAsia="zh-CN"/>
          <w14:textFill>
            <w14:solidFill>
              <w14:schemeClr w14:val="tx1"/>
            </w14:solidFill>
          </w14:textFill>
        </w:rPr>
        <w:t>按照党中央、国务院关于党政机关习惯过紧日子的有关要求，</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厉行节约办一切事业，</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严控</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一般性支出</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。同时坚持有保有压，优化支出结构，提高资金使用效率，</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合理保障</w:t>
      </w:r>
      <w:r>
        <w:rPr>
          <w:rFonts w:hint="eastAsia" w:ascii="仿宋" w:hAnsi="仿宋" w:eastAsia="仿宋" w:cs="仿宋"/>
          <w:color w:val="000000" w:themeColor="text1"/>
          <w:sz w:val="32"/>
          <w:szCs w:val="32"/>
          <w:highlight w:val="none"/>
          <w:u w:val="none"/>
          <w:lang w:val="zh-CN"/>
          <w14:textFill>
            <w14:solidFill>
              <w14:schemeClr w14:val="tx1"/>
            </w14:solidFill>
          </w14:textFill>
        </w:rPr>
        <w:t>就业补助、人力资源和社会保障管理事务</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等</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重点</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支出，体现在有关支出科目中。</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二是</w:t>
      </w:r>
      <w:r>
        <w:rPr>
          <w:rFonts w:hint="eastAsia" w:ascii="仿宋" w:hAnsi="仿宋" w:eastAsia="仿宋" w:cs="仿宋"/>
          <w:b w:val="0"/>
          <w:bCs w:val="0"/>
          <w:color w:val="000000" w:themeColor="text1"/>
          <w:sz w:val="32"/>
          <w:szCs w:val="32"/>
          <w:highlight w:val="none"/>
          <w:u w:val="none"/>
          <w:lang w:val="zh-CN" w:eastAsia="zh-CN"/>
          <w14:textFill>
            <w14:solidFill>
              <w14:schemeClr w14:val="tx1"/>
            </w14:solidFill>
          </w14:textFill>
        </w:rPr>
        <w:t>结合部门职责和决算情况等，对2025年主要任务和支出政策进行说明。</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参考格式：按照支出功能分类</w:t>
      </w:r>
      <w:r>
        <w:rPr>
          <w:rFonts w:hint="eastAsia" w:ascii="仿宋" w:hAnsi="仿宋" w:eastAsia="仿宋" w:cs="仿宋"/>
          <w:color w:val="000000" w:themeColor="text1"/>
          <w:sz w:val="32"/>
          <w:szCs w:val="32"/>
          <w:highlight w:val="none"/>
          <w:u w:val="none"/>
          <w:lang w:val="zh-CN"/>
          <w14:textFill>
            <w14:solidFill>
              <w14:schemeClr w14:val="tx1"/>
            </w14:solidFill>
          </w14:textFill>
        </w:rPr>
        <w:t>就业补助</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方面的支出规模较大，主要是：</w:t>
      </w:r>
      <w:r>
        <w:rPr>
          <w:rFonts w:hint="eastAsia" w:ascii="仿宋" w:hAnsi="仿宋" w:eastAsia="仿宋" w:cs="仿宋"/>
          <w:color w:val="000000" w:themeColor="text1"/>
          <w:sz w:val="32"/>
          <w:szCs w:val="32"/>
          <w:highlight w:val="none"/>
          <w:u w:val="none"/>
          <w:lang w:val="zh-CN"/>
          <w14:textFill>
            <w14:solidFill>
              <w14:schemeClr w14:val="tx1"/>
            </w14:solidFill>
          </w14:textFill>
        </w:rPr>
        <w:t>社会保险补贴</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，202</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5</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年</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度决算</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数为</w:t>
      </w:r>
      <w:r>
        <w:rPr>
          <w:rFonts w:hint="eastAsia" w:ascii="仿宋" w:hAnsi="仿宋" w:eastAsia="仿宋" w:cs="仿宋"/>
          <w:b w:val="0"/>
          <w:bCs w:val="0"/>
          <w:color w:val="000000" w:themeColor="text1"/>
          <w:kern w:val="2"/>
          <w:sz w:val="32"/>
          <w:szCs w:val="32"/>
          <w:highlight w:val="none"/>
          <w:u w:val="none"/>
          <w:lang w:val="en-US" w:eastAsia="zh-CN"/>
          <w14:textFill>
            <w14:solidFill>
              <w14:schemeClr w14:val="tx1"/>
            </w14:solidFill>
          </w14:textFill>
        </w:rPr>
        <w:t>3,709.84</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万元，占</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财政拨款</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支出总额的</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69.49</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%，主要用于</w:t>
      </w:r>
      <w:r>
        <w:rPr>
          <w:rFonts w:hint="eastAsia" w:ascii="仿宋" w:hAnsi="仿宋" w:eastAsia="仿宋" w:cs="仿宋"/>
          <w:color w:val="000000" w:themeColor="text1"/>
          <w:sz w:val="32"/>
          <w:szCs w:val="32"/>
          <w:highlight w:val="none"/>
          <w:u w:val="none"/>
          <w:lang w:val="zh-CN"/>
          <w14:textFill>
            <w14:solidFill>
              <w14:schemeClr w14:val="tx1"/>
            </w14:solidFill>
          </w14:textFill>
        </w:rPr>
        <w:t>社会保险补贴</w:t>
      </w:r>
      <w:r>
        <w:rPr>
          <w:rFonts w:hint="eastAsia" w:ascii="仿宋" w:hAnsi="仿宋" w:eastAsia="仿宋" w:cs="仿宋"/>
          <w:b w:val="0"/>
          <w:bCs w:val="0"/>
          <w:color w:val="000000" w:themeColor="text1"/>
          <w:kern w:val="2"/>
          <w:sz w:val="32"/>
          <w:szCs w:val="32"/>
          <w:highlight w:val="none"/>
          <w:u w:val="none"/>
          <w:lang w:val="zh-CN"/>
          <w14:textFill>
            <w14:solidFill>
              <w14:schemeClr w14:val="tx1"/>
            </w14:solidFill>
          </w14:textFill>
        </w:rPr>
        <w:t>、就业见习补贴</w:t>
      </w:r>
      <w:r>
        <w:rPr>
          <w:rFonts w:hint="eastAsia" w:ascii="仿宋" w:hAnsi="仿宋" w:eastAsia="仿宋" w:cs="仿宋"/>
          <w:b w:val="0"/>
          <w:bCs w:val="0"/>
          <w:color w:val="000000" w:themeColor="text1"/>
          <w:kern w:val="2"/>
          <w:sz w:val="32"/>
          <w:szCs w:val="32"/>
          <w:highlight w:val="none"/>
          <w:u w:val="none"/>
          <w:lang w:val="zh-CN" w:eastAsia="zh-CN"/>
          <w14:textFill>
            <w14:solidFill>
              <w14:schemeClr w14:val="tx1"/>
            </w14:solidFill>
          </w14:textFill>
        </w:rPr>
        <w:t>、职业培训补贴、其他就业补助支出等。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十</w:t>
      </w:r>
      <w:r>
        <w:rPr>
          <w:rFonts w:hint="eastAsia" w:ascii="黑体" w:hAnsi="黑体" w:eastAsia="黑体" w:cs="黑体"/>
          <w:bCs/>
          <w:color w:val="000000" w:themeColor="text1"/>
          <w:sz w:val="32"/>
          <w:szCs w:val="32"/>
          <w:lang w:val="en-US" w:eastAsia="zh-CN"/>
          <w14:textFill>
            <w14:solidFill>
              <w14:schemeClr w14:val="tx1"/>
            </w14:solidFill>
          </w14:textFill>
        </w:rPr>
        <w:t>二</w:t>
      </w:r>
      <w:r>
        <w:rPr>
          <w:rFonts w:hint="eastAsia" w:ascii="黑体" w:hAnsi="黑体" w:eastAsia="黑体" w:cs="黑体"/>
          <w:bCs/>
          <w:color w:val="000000" w:themeColor="text1"/>
          <w:sz w:val="32"/>
          <w:szCs w:val="32"/>
          <w14:textFill>
            <w14:solidFill>
              <w14:schemeClr w14:val="tx1"/>
            </w14:solidFill>
          </w14:textFill>
        </w:rPr>
        <w:t>、其他重要事项情况说明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94" w:name="_Toc18325_WPSOffice_Level2"/>
      <w:bookmarkStart w:id="95" w:name="_Toc5978_WPSOffice_Level2"/>
      <w:bookmarkStart w:id="96" w:name="_Toc15565_WPSOffice_Level2"/>
      <w:bookmarkStart w:id="97" w:name="_Toc23598_WPSOffice_Level2"/>
      <w:bookmarkStart w:id="98" w:name="_Toc15262_WPSOffice_Level2"/>
      <w:bookmarkStart w:id="99" w:name="_Toc32639_WPSOffice_Level2"/>
      <w:r>
        <w:rPr>
          <w:rFonts w:hint="eastAsia" w:ascii="楷体" w:hAnsi="楷体" w:eastAsia="楷体" w:cs="楷体"/>
          <w:bCs/>
          <w:color w:val="000000" w:themeColor="text1"/>
          <w:sz w:val="32"/>
          <w:szCs w:val="32"/>
          <w14:textFill>
            <w14:solidFill>
              <w14:schemeClr w14:val="tx1"/>
            </w14:solidFill>
          </w14:textFill>
        </w:rPr>
        <w:t>（一）机关运行经费支出情况</w:t>
      </w:r>
      <w:bookmarkEnd w:id="94"/>
      <w:bookmarkEnd w:id="95"/>
      <w:bookmarkEnd w:id="96"/>
      <w:bookmarkEnd w:id="97"/>
      <w:bookmarkEnd w:id="98"/>
      <w:bookmarkEnd w:id="99"/>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w:t>
      </w:r>
      <w:r>
        <w:rPr>
          <w:rFonts w:hint="eastAsia" w:ascii="仿宋" w:hAnsi="仿宋" w:eastAsia="仿宋" w:cs="仿宋"/>
          <w:color w:val="000000" w:themeColor="text1"/>
          <w:sz w:val="32"/>
          <w:szCs w:val="32"/>
          <w:lang w:eastAsia="zh-CN"/>
          <w14:textFill>
            <w14:solidFill>
              <w14:schemeClr w14:val="tx1"/>
            </w14:solidFill>
          </w14:textFill>
        </w:rPr>
        <w:t>海口市人力资源开发局</w:t>
      </w:r>
      <w:r>
        <w:rPr>
          <w:rFonts w:hint="eastAsia" w:ascii="仿宋" w:hAnsi="仿宋" w:eastAsia="仿宋" w:cs="仿宋"/>
          <w:color w:val="000000" w:themeColor="text1"/>
          <w:sz w:val="32"/>
          <w:szCs w:val="32"/>
          <w14:textFill>
            <w14:solidFill>
              <w14:schemeClr w14:val="tx1"/>
            </w14:solidFill>
          </w14:textFill>
        </w:rPr>
        <w:t>部门（单位）机关运行经费</w:t>
      </w:r>
      <w:r>
        <w:rPr>
          <w:rFonts w:hint="eastAsia" w:ascii="仿宋" w:hAnsi="仿宋" w:eastAsia="仿宋" w:cs="仿宋"/>
          <w:color w:val="000000" w:themeColor="text1"/>
          <w:sz w:val="32"/>
          <w:szCs w:val="32"/>
          <w:lang w:val="en-US" w:eastAsia="zh-CN"/>
          <w14:textFill>
            <w14:solidFill>
              <w14:schemeClr w14:val="tx1"/>
            </w14:solidFill>
          </w14:textFill>
        </w:rPr>
        <w:t>77.11</w:t>
      </w:r>
      <w:r>
        <w:rPr>
          <w:rFonts w:hint="eastAsia" w:ascii="仿宋" w:hAnsi="仿宋" w:eastAsia="仿宋" w:cs="仿宋"/>
          <w:color w:val="000000" w:themeColor="text1"/>
          <w:sz w:val="32"/>
          <w:szCs w:val="32"/>
          <w14:textFill>
            <w14:solidFill>
              <w14:schemeClr w14:val="tx1"/>
            </w14:solidFill>
          </w14:textFill>
        </w:rPr>
        <w:t>万元（为部门决算中行政单位和参公事业单位财政拨款基本支出中公用经费支出之和，事业单位没有机关运行经费支出），比年初预算增加</w:t>
      </w:r>
      <w:r>
        <w:rPr>
          <w:rFonts w:hint="eastAsia" w:ascii="仿宋" w:hAnsi="仿宋" w:eastAsia="仿宋" w:cs="仿宋"/>
          <w:color w:val="000000" w:themeColor="text1"/>
          <w:sz w:val="32"/>
          <w:szCs w:val="32"/>
          <w:lang w:val="en-US" w:eastAsia="zh-CN"/>
          <w14:textFill>
            <w14:solidFill>
              <w14:schemeClr w14:val="tx1"/>
            </w14:solidFill>
          </w14:textFill>
        </w:rPr>
        <w:t>8.65</w:t>
      </w:r>
      <w:r>
        <w:rPr>
          <w:rFonts w:hint="eastAsia" w:ascii="仿宋" w:hAnsi="仿宋" w:eastAsia="仿宋" w:cs="仿宋"/>
          <w:color w:val="000000" w:themeColor="text1"/>
          <w:sz w:val="32"/>
          <w:szCs w:val="32"/>
          <w14:textFill>
            <w14:solidFill>
              <w14:schemeClr w14:val="tx1"/>
            </w14:solidFill>
          </w14:textFill>
        </w:rPr>
        <w:t>万元，</w:t>
      </w:r>
      <w:r>
        <w:rPr>
          <w:rFonts w:hint="eastAsia" w:ascii="仿宋" w:hAnsi="仿宋" w:eastAsia="仿宋" w:cs="仿宋"/>
          <w:color w:val="000000" w:themeColor="text1"/>
          <w:sz w:val="32"/>
          <w:szCs w:val="32"/>
          <w:lang w:val="en-US" w:eastAsia="zh-CN"/>
          <w14:textFill>
            <w14:solidFill>
              <w14:schemeClr w14:val="tx1"/>
            </w14:solidFill>
          </w14:textFill>
        </w:rPr>
        <w:t>完成预算的112.64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与2024年度相比，机关运行经费</w:t>
      </w:r>
      <w:r>
        <w:rPr>
          <w:rFonts w:hint="eastAsia" w:ascii="仿宋" w:hAnsi="仿宋" w:eastAsia="仿宋" w:cs="仿宋"/>
          <w:color w:val="000000" w:themeColor="text1"/>
          <w:sz w:val="32"/>
          <w:szCs w:val="32"/>
          <w14:textFill>
            <w14:solidFill>
              <w14:schemeClr w14:val="tx1"/>
            </w14:solidFill>
          </w14:textFill>
        </w:rPr>
        <w:t>减少</w:t>
      </w:r>
      <w:r>
        <w:rPr>
          <w:rFonts w:hint="eastAsia" w:ascii="仿宋" w:hAnsi="仿宋" w:eastAsia="仿宋" w:cs="仿宋"/>
          <w:color w:val="000000" w:themeColor="text1"/>
          <w:sz w:val="32"/>
          <w:szCs w:val="32"/>
          <w:lang w:val="en-US" w:eastAsia="zh-CN"/>
          <w14:textFill>
            <w14:solidFill>
              <w14:schemeClr w14:val="tx1"/>
            </w14:solidFill>
          </w14:textFill>
        </w:rPr>
        <w:t>16.68</w:t>
      </w:r>
      <w:r>
        <w:rPr>
          <w:rFonts w:hint="eastAsia" w:ascii="仿宋" w:hAnsi="仿宋" w:eastAsia="仿宋" w:cs="仿宋"/>
          <w:color w:val="000000" w:themeColor="text1"/>
          <w:sz w:val="32"/>
          <w:szCs w:val="32"/>
          <w14:textFill>
            <w14:solidFill>
              <w14:schemeClr w14:val="tx1"/>
            </w14:solidFill>
          </w14:textFill>
        </w:rPr>
        <w:t>万元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下降17.78%。</w:t>
      </w:r>
      <w:r>
        <w:rPr>
          <w:rFonts w:hint="eastAsia" w:ascii="仿宋" w:hAnsi="仿宋" w:eastAsia="仿宋" w:cs="仿宋"/>
          <w:color w:val="000000" w:themeColor="text1"/>
          <w:sz w:val="32"/>
          <w:szCs w:val="32"/>
          <w14:textFill>
            <w14:solidFill>
              <w14:schemeClr w14:val="tx1"/>
            </w14:solidFill>
          </w14:textFill>
        </w:rPr>
        <w:t>主要原因是：</w:t>
      </w:r>
      <w:r>
        <w:rPr>
          <w:rFonts w:hint="eastAsia" w:ascii="仿宋" w:hAnsi="仿宋" w:eastAsia="仿宋" w:cs="仿宋"/>
          <w:color w:val="000000" w:themeColor="text1"/>
          <w:sz w:val="32"/>
          <w:szCs w:val="32"/>
          <w:lang w:bidi="ar"/>
          <w14:textFill>
            <w14:solidFill>
              <w14:schemeClr w14:val="tx1"/>
            </w14:solidFill>
          </w14:textFill>
        </w:rPr>
        <w:t>落实过紧日子要求压减</w:t>
      </w:r>
      <w:r>
        <w:rPr>
          <w:rFonts w:hint="eastAsia" w:ascii="仿宋" w:hAnsi="仿宋" w:eastAsia="仿宋" w:cs="仿宋"/>
          <w:color w:val="000000" w:themeColor="text1"/>
          <w:sz w:val="32"/>
          <w:szCs w:val="32"/>
          <w:lang w:val="en-US" w:eastAsia="zh-CN" w:bidi="ar"/>
          <w14:textFill>
            <w14:solidFill>
              <w14:schemeClr w14:val="tx1"/>
            </w14:solidFill>
          </w14:textFill>
        </w:rPr>
        <w:t>16.68</w:t>
      </w:r>
      <w:r>
        <w:rPr>
          <w:rFonts w:hint="eastAsia" w:ascii="仿宋" w:hAnsi="仿宋" w:eastAsia="仿宋" w:cs="仿宋"/>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100" w:name="_Toc13084_WPSOffice_Level2"/>
      <w:bookmarkStart w:id="101" w:name="_Toc25333_WPSOffice_Level2"/>
      <w:bookmarkStart w:id="102" w:name="_Toc3131_WPSOffice_Level2"/>
      <w:bookmarkStart w:id="103" w:name="_Toc23966_WPSOffice_Level2"/>
      <w:bookmarkStart w:id="104" w:name="_Toc32689_WPSOffice_Level2"/>
      <w:bookmarkStart w:id="105" w:name="_Toc30383_WPSOffice_Level2"/>
      <w:r>
        <w:rPr>
          <w:rFonts w:hint="eastAsia" w:ascii="楷体" w:hAnsi="楷体" w:eastAsia="楷体" w:cs="楷体"/>
          <w:bCs/>
          <w:color w:val="000000" w:themeColor="text1"/>
          <w:sz w:val="32"/>
          <w:szCs w:val="32"/>
          <w14:textFill>
            <w14:solidFill>
              <w14:schemeClr w14:val="tx1"/>
            </w14:solidFill>
          </w14:textFill>
        </w:rPr>
        <w:t>（二）政府采购支出情况</w:t>
      </w:r>
      <w:bookmarkEnd w:id="100"/>
      <w:bookmarkEnd w:id="101"/>
      <w:bookmarkEnd w:id="102"/>
      <w:bookmarkEnd w:id="103"/>
      <w:bookmarkEnd w:id="104"/>
      <w:bookmarkEnd w:id="105"/>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14:textFill>
            <w14:solidFill>
              <w14:schemeClr w14:val="tx1"/>
            </w14:solidFill>
          </w14:textFill>
        </w:rPr>
        <w:t>2025</w:t>
      </w:r>
      <w:r>
        <w:rPr>
          <w:rFonts w:hint="eastAsia" w:ascii="仿宋" w:hAnsi="仿宋" w:eastAsia="仿宋" w:cs="仿宋"/>
          <w:color w:val="000000" w:themeColor="text1"/>
          <w:sz w:val="32"/>
          <w:szCs w:val="32"/>
          <w14:textFill>
            <w14:solidFill>
              <w14:schemeClr w14:val="tx1"/>
            </w14:solidFill>
          </w14:textFill>
        </w:rPr>
        <w:t>年度</w:t>
      </w:r>
      <w:r>
        <w:rPr>
          <w:rFonts w:hint="eastAsia" w:ascii="仿宋" w:hAnsi="仿宋" w:eastAsia="仿宋" w:cs="仿宋"/>
          <w:color w:val="000000" w:themeColor="text1"/>
          <w:sz w:val="32"/>
          <w:szCs w:val="32"/>
          <w:lang w:val="en-US" w:eastAsia="zh-CN"/>
          <w14:textFill>
            <w14:solidFill>
              <w14:schemeClr w14:val="tx1"/>
            </w14:solidFill>
          </w14:textFill>
        </w:rPr>
        <w:t>海口市人力资源开发局</w:t>
      </w:r>
      <w:r>
        <w:rPr>
          <w:rFonts w:hint="eastAsia" w:ascii="仿宋" w:hAnsi="仿宋" w:eastAsia="仿宋" w:cs="仿宋"/>
          <w:color w:val="000000" w:themeColor="text1"/>
          <w:sz w:val="32"/>
          <w:szCs w:val="32"/>
          <w14:textFill>
            <w14:solidFill>
              <w14:schemeClr w14:val="tx1"/>
            </w14:solidFill>
          </w14:textFill>
        </w:rPr>
        <w:t>部门（单位）政府采购支出总额</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万元，其中：政府采购货物支出</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万元、政府采购工程支出</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万元、政府采购服务支出</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万元。授予中小企业合同金额</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万元，占政府采购支出总额的</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%，其中：授予小微企业合同金额</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万元，占</w:t>
      </w:r>
      <w:r>
        <w:rPr>
          <w:rFonts w:hint="eastAsia" w:ascii="仿宋" w:hAnsi="仿宋" w:eastAsia="仿宋" w:cs="仿宋"/>
          <w:color w:val="000000" w:themeColor="text1"/>
          <w:kern w:val="0"/>
          <w:sz w:val="32"/>
          <w:szCs w:val="32"/>
          <w:lang w:bidi="ar"/>
          <w14:textFill>
            <w14:solidFill>
              <w14:schemeClr w14:val="tx1"/>
            </w14:solidFill>
          </w14:textFill>
        </w:rPr>
        <w:t>授予中小企业合同金额</w:t>
      </w:r>
      <w:r>
        <w:rPr>
          <w:rFonts w:hint="eastAsia" w:ascii="仿宋" w:hAnsi="仿宋" w:eastAsia="仿宋" w:cs="仿宋"/>
          <w:color w:val="000000" w:themeColor="text1"/>
          <w:sz w:val="32"/>
          <w:szCs w:val="32"/>
          <w14:textFill>
            <w14:solidFill>
              <w14:schemeClr w14:val="tx1"/>
            </w14:solidFill>
          </w14:textFill>
        </w:rPr>
        <w:t>的</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106" w:name="_Toc527_WPSOffice_Level2"/>
      <w:bookmarkStart w:id="107" w:name="_Toc6016_WPSOffice_Level2"/>
      <w:bookmarkStart w:id="108" w:name="_Toc19989_WPSOffice_Level2"/>
      <w:bookmarkStart w:id="109" w:name="_Toc29584_WPSOffice_Level2"/>
      <w:bookmarkStart w:id="110" w:name="_Toc10902_WPSOffice_Level2"/>
      <w:bookmarkStart w:id="111" w:name="_Toc15129_WPSOffice_Level2"/>
      <w:r>
        <w:rPr>
          <w:rFonts w:hint="eastAsia" w:ascii="楷体" w:hAnsi="楷体" w:eastAsia="楷体" w:cs="楷体"/>
          <w:bCs/>
          <w:color w:val="000000" w:themeColor="text1"/>
          <w:sz w:val="32"/>
          <w:szCs w:val="32"/>
          <w14:textFill>
            <w14:solidFill>
              <w14:schemeClr w14:val="tx1"/>
            </w14:solidFill>
          </w14:textFill>
        </w:rPr>
        <w:t>（三）国有资产占用情况</w:t>
      </w:r>
      <w:bookmarkEnd w:id="106"/>
      <w:bookmarkEnd w:id="107"/>
      <w:bookmarkEnd w:id="108"/>
      <w:bookmarkEnd w:id="109"/>
      <w:bookmarkEnd w:id="110"/>
      <w:bookmarkEnd w:id="111"/>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截至</w:t>
      </w:r>
      <w:r>
        <w:rPr>
          <w:rFonts w:hint="eastAsia" w:ascii="仿宋" w:hAnsi="仿宋" w:eastAsia="仿宋" w:cs="仿宋"/>
          <w:bCs/>
          <w:color w:val="000000" w:themeColor="text1"/>
          <w:sz w:val="32"/>
          <w:szCs w:val="32"/>
          <w:lang w:val="en-US"/>
          <w14:textFill>
            <w14:solidFill>
              <w14:schemeClr w14:val="tx1"/>
            </w14:solidFill>
          </w14:textFill>
        </w:rPr>
        <w:t>2025</w:t>
      </w:r>
      <w:r>
        <w:rPr>
          <w:rFonts w:hint="eastAsia" w:ascii="仿宋" w:hAnsi="仿宋" w:eastAsia="仿宋" w:cs="仿宋"/>
          <w:bCs/>
          <w:color w:val="000000" w:themeColor="text1"/>
          <w:sz w:val="32"/>
          <w:szCs w:val="32"/>
          <w14:textFill>
            <w14:solidFill>
              <w14:schemeClr w14:val="tx1"/>
            </w14:solidFill>
          </w14:textFill>
        </w:rPr>
        <w:t>年12月31日，本部门拥有</w:t>
      </w:r>
      <w:r>
        <w:rPr>
          <w:rFonts w:hint="eastAsia" w:ascii="仿宋" w:hAnsi="仿宋" w:eastAsia="仿宋" w:cs="仿宋"/>
          <w:color w:val="000000" w:themeColor="text1"/>
          <w:sz w:val="32"/>
          <w:szCs w:val="32"/>
          <w14:textFill>
            <w14:solidFill>
              <w14:schemeClr w14:val="tx1"/>
            </w14:solidFill>
          </w14:textFill>
        </w:rPr>
        <w:t>房屋面积</w:t>
      </w:r>
      <w:r>
        <w:rPr>
          <w:rFonts w:hint="eastAsia" w:ascii="仿宋" w:hAnsi="仿宋" w:eastAsia="仿宋" w:cs="仿宋"/>
          <w:color w:val="000000" w:themeColor="text1"/>
          <w:sz w:val="32"/>
          <w:szCs w:val="32"/>
          <w:lang w:val="en-US" w:eastAsia="zh-CN"/>
          <w14:textFill>
            <w14:solidFill>
              <w14:schemeClr w14:val="tx1"/>
            </w14:solidFill>
          </w14:textFill>
        </w:rPr>
        <w:t>8248.74</w:t>
      </w:r>
      <w:r>
        <w:rPr>
          <w:rFonts w:hint="eastAsia" w:ascii="仿宋" w:hAnsi="仿宋" w:eastAsia="仿宋" w:cs="仿宋"/>
          <w:color w:val="000000" w:themeColor="text1"/>
          <w:sz w:val="32"/>
          <w:szCs w:val="32"/>
          <w14:textFill>
            <w14:solidFill>
              <w14:schemeClr w14:val="tx1"/>
            </w14:solidFill>
          </w14:textFill>
        </w:rPr>
        <w:t>平方米</w:t>
      </w:r>
      <w:r>
        <w:rPr>
          <w:rFonts w:hint="eastAsia" w:ascii="仿宋" w:hAnsi="仿宋" w:eastAsia="仿宋" w:cs="仿宋"/>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本部门共有车辆</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辆，其中，副部（省）级及以上领导用车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辆、主要负责人用车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辆、机要通信用车</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辆、应急保障用车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辆、执法执勤用车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辆、特种专业技术用车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辆、离退休干部服务用车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辆、其他用车</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辆，其他用车主要是</w:t>
      </w:r>
      <w:r>
        <w:rPr>
          <w:rFonts w:hint="eastAsia" w:ascii="仿宋" w:hAnsi="仿宋" w:eastAsia="仿宋" w:cs="仿宋"/>
          <w:color w:val="000000" w:themeColor="text1"/>
          <w:sz w:val="32"/>
          <w:szCs w:val="32"/>
          <w:lang w:eastAsia="zh-CN"/>
          <w14:textFill>
            <w14:solidFill>
              <w14:schemeClr w14:val="tx1"/>
            </w14:solidFill>
          </w14:textFill>
        </w:rPr>
        <w:t>无</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单价100万元（含）以上设备（不含车辆）</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台（套）。</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center"/>
        <w:textAlignment w:val="auto"/>
        <w:rPr>
          <w:rFonts w:hint="eastAsia" w:ascii="黑体" w:hAnsi="ˎ̥" w:eastAsia="黑体"/>
          <w:sz w:val="32"/>
          <w:szCs w:val="32"/>
        </w:rPr>
      </w:pPr>
      <w:bookmarkStart w:id="112" w:name="_Toc4398_WPSOffice_Level1"/>
      <w:bookmarkStart w:id="113" w:name="_Toc8808_WPSOffice_Level1"/>
      <w:bookmarkStart w:id="114" w:name="_Toc8874_WPSOffice_Level1"/>
      <w:bookmarkStart w:id="115" w:name="_Toc11039_WPSOffice_Level1"/>
      <w:bookmarkStart w:id="116" w:name="_Toc15425_WPSOffice_Level1"/>
      <w:bookmarkStart w:id="117" w:name="_Toc17580_WPSOffice_Level1"/>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2"/>
      <w:bookmarkEnd w:id="113"/>
      <w:bookmarkEnd w:id="114"/>
      <w:bookmarkEnd w:id="115"/>
      <w:bookmarkEnd w:id="116"/>
      <w:bookmarkEnd w:id="117"/>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、公务用车购置及运行维护费和公务接待费。其中，因公出国（境）费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十六、支出功能分类：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XXXX（类）XXXX（款）XXXX（项），……；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XXXX（类）XXXX（款）XXXX（项），……</w:t>
      </w:r>
      <w:r>
        <w:rPr>
          <w:rFonts w:hint="eastAsia" w:ascii="仿宋" w:hAnsi="仿宋" w:eastAsia="仿宋" w:cs="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（注：支出功能分类的名词解释，各</w:t>
      </w:r>
      <w:r>
        <w:rPr>
          <w:rFonts w:hint="eastAsia" w:ascii="仿宋" w:hAnsi="仿宋" w:eastAsia="仿宋" w:cs="仿宋"/>
          <w:sz w:val="32"/>
          <w:szCs w:val="32"/>
          <w:highlight w:val="none"/>
          <w:lang w:eastAsia="zh-CN"/>
        </w:rPr>
        <w:t>预算</w:t>
      </w:r>
      <w:r>
        <w:rPr>
          <w:rFonts w:hint="eastAsia" w:ascii="仿宋" w:hAnsi="仿宋" w:eastAsia="仿宋" w:cs="仿宋"/>
          <w:sz w:val="32"/>
          <w:szCs w:val="32"/>
          <w:highlight w:val="none"/>
        </w:rPr>
        <w:t>部门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单位根据实际支出情况填列，可参阅财政部印发的《202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年政府收支分类科目》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pP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Fonts w:hint="eastAsia" w:ascii="宋体" w:hAnsi="宋体" w:eastAsia="宋体" w:cs="宋体"/>
        <w:sz w:val="28"/>
        <w:szCs w:val="28"/>
      </w:rPr>
    </w:pPr>
    <w:r>
      <w:rPr>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9"/>
        <w:rFonts w:hint="eastAsia" w:ascii="宋体" w:hAnsi="宋体" w:eastAsia="宋体" w:cs="宋体"/>
        <w:sz w:val="28"/>
        <w:szCs w:val="28"/>
      </w:rPr>
      <w:t>18</w:t>
    </w:r>
    <w:r>
      <w:rPr>
        <w:rFonts w:hint="eastAsia" w:ascii="宋体" w:hAnsi="宋体" w:eastAsia="宋体" w:cs="宋体"/>
        <w:sz w:val="28"/>
        <w:szCs w:val="28"/>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B7A46ED7"/>
    <w:multiLevelType w:val="singleLevel"/>
    <w:tmpl w:val="B7A46ED7"/>
    <w:lvl w:ilvl="0" w:tentative="0">
      <w:start w:val="1"/>
      <w:numFmt w:val="chineseCounting"/>
      <w:suff w:val="nothing"/>
      <w:lvlText w:val="%1、"/>
      <w:lvlJc w:val="left"/>
      <w:rPr>
        <w:rFonts w:hint="eastAsia"/>
      </w:rPr>
    </w:lvl>
  </w:abstractNum>
  <w:abstractNum w:abstractNumId="2">
    <w:nsid w:val="C5778F5A"/>
    <w:multiLevelType w:val="singleLevel"/>
    <w:tmpl w:val="C5778F5A"/>
    <w:lvl w:ilvl="0" w:tentative="0">
      <w:start w:val="1"/>
      <w:numFmt w:val="decimal"/>
      <w:suff w:val="nothing"/>
      <w:lvlText w:val="%1、"/>
      <w:lvlJc w:val="left"/>
    </w:lvl>
  </w:abstractNum>
  <w:abstractNum w:abstractNumId="3">
    <w:nsid w:val="DE7ABA8A"/>
    <w:multiLevelType w:val="singleLevel"/>
    <w:tmpl w:val="DE7ABA8A"/>
    <w:lvl w:ilvl="0" w:tentative="0">
      <w:start w:val="1"/>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AF1619"/>
    <w:rsid w:val="04CB1139"/>
    <w:rsid w:val="06400C4E"/>
    <w:rsid w:val="080B7C62"/>
    <w:rsid w:val="09201287"/>
    <w:rsid w:val="0AF81AF7"/>
    <w:rsid w:val="0B8646CF"/>
    <w:rsid w:val="0F0D0E98"/>
    <w:rsid w:val="0F5B4403"/>
    <w:rsid w:val="0F64775C"/>
    <w:rsid w:val="0FC80124"/>
    <w:rsid w:val="106D0892"/>
    <w:rsid w:val="136F98C7"/>
    <w:rsid w:val="13CC1D73"/>
    <w:rsid w:val="14B05415"/>
    <w:rsid w:val="17427E68"/>
    <w:rsid w:val="1755065F"/>
    <w:rsid w:val="17F378CF"/>
    <w:rsid w:val="1AFC29C9"/>
    <w:rsid w:val="1CA52F2E"/>
    <w:rsid w:val="1E041134"/>
    <w:rsid w:val="1E3630B9"/>
    <w:rsid w:val="1E766B63"/>
    <w:rsid w:val="21880966"/>
    <w:rsid w:val="21E733E5"/>
    <w:rsid w:val="22FB1D2D"/>
    <w:rsid w:val="24013373"/>
    <w:rsid w:val="26EEC2B5"/>
    <w:rsid w:val="29472309"/>
    <w:rsid w:val="2A4459FD"/>
    <w:rsid w:val="2A7B2902"/>
    <w:rsid w:val="2B406E77"/>
    <w:rsid w:val="2BF67536"/>
    <w:rsid w:val="2C2A0C43"/>
    <w:rsid w:val="2C895B0F"/>
    <w:rsid w:val="2D1E73A5"/>
    <w:rsid w:val="2D984D48"/>
    <w:rsid w:val="2DAA682A"/>
    <w:rsid w:val="2E0507AC"/>
    <w:rsid w:val="308664C2"/>
    <w:rsid w:val="32717154"/>
    <w:rsid w:val="346828B3"/>
    <w:rsid w:val="34B63260"/>
    <w:rsid w:val="37FDA7E2"/>
    <w:rsid w:val="389D2A9B"/>
    <w:rsid w:val="3A314D88"/>
    <w:rsid w:val="3A746883"/>
    <w:rsid w:val="3C8A1D00"/>
    <w:rsid w:val="3CA15DE9"/>
    <w:rsid w:val="3D0F0457"/>
    <w:rsid w:val="3DFA2EB5"/>
    <w:rsid w:val="3FC461A6"/>
    <w:rsid w:val="3FD02B45"/>
    <w:rsid w:val="3FE61EE5"/>
    <w:rsid w:val="406508EE"/>
    <w:rsid w:val="408D6263"/>
    <w:rsid w:val="41B40CEE"/>
    <w:rsid w:val="4204332E"/>
    <w:rsid w:val="42834F1E"/>
    <w:rsid w:val="45060392"/>
    <w:rsid w:val="46773AE2"/>
    <w:rsid w:val="48317291"/>
    <w:rsid w:val="484D5079"/>
    <w:rsid w:val="485F7024"/>
    <w:rsid w:val="488F68F0"/>
    <w:rsid w:val="48C447EC"/>
    <w:rsid w:val="48E70666"/>
    <w:rsid w:val="4C6877E5"/>
    <w:rsid w:val="4D4E6D7A"/>
    <w:rsid w:val="4D6A468D"/>
    <w:rsid w:val="4EA86137"/>
    <w:rsid w:val="511341D1"/>
    <w:rsid w:val="51DA7627"/>
    <w:rsid w:val="54AB6860"/>
    <w:rsid w:val="55384597"/>
    <w:rsid w:val="56031AB3"/>
    <w:rsid w:val="56B81EA5"/>
    <w:rsid w:val="56CA7FD0"/>
    <w:rsid w:val="57832294"/>
    <w:rsid w:val="57ED0974"/>
    <w:rsid w:val="57FA38D1"/>
    <w:rsid w:val="58174786"/>
    <w:rsid w:val="5A6A4AC7"/>
    <w:rsid w:val="5AB97EAE"/>
    <w:rsid w:val="5D466DCD"/>
    <w:rsid w:val="5D9E1657"/>
    <w:rsid w:val="5F545B83"/>
    <w:rsid w:val="5F7D3333"/>
    <w:rsid w:val="601D7037"/>
    <w:rsid w:val="61385890"/>
    <w:rsid w:val="64CC0566"/>
    <w:rsid w:val="65F03279"/>
    <w:rsid w:val="66CB4B3F"/>
    <w:rsid w:val="687436E1"/>
    <w:rsid w:val="6A6B4546"/>
    <w:rsid w:val="6A8E20AF"/>
    <w:rsid w:val="6DA45C50"/>
    <w:rsid w:val="6E9A7825"/>
    <w:rsid w:val="6F670F9B"/>
    <w:rsid w:val="737450E0"/>
    <w:rsid w:val="74054476"/>
    <w:rsid w:val="742F38C4"/>
    <w:rsid w:val="74AB66DC"/>
    <w:rsid w:val="74C4154C"/>
    <w:rsid w:val="75956FFF"/>
    <w:rsid w:val="778D20C9"/>
    <w:rsid w:val="77AA2D01"/>
    <w:rsid w:val="783C4637"/>
    <w:rsid w:val="793C6888"/>
    <w:rsid w:val="7CDE1DBD"/>
    <w:rsid w:val="7D223643"/>
    <w:rsid w:val="7D631FF2"/>
    <w:rsid w:val="7D943A85"/>
    <w:rsid w:val="7DB0448C"/>
    <w:rsid w:val="7E5F9AA4"/>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1086</Words>
  <Characters>2053</Characters>
  <Lines>67</Lines>
  <Paragraphs>18</Paragraphs>
  <TotalTime>202</TotalTime>
  <ScaleCrop>false</ScaleCrop>
  <LinksUpToDate>false</LinksUpToDate>
  <CharactersWithSpaces>2089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hp</cp:lastModifiedBy>
  <cp:lastPrinted>2023-08-03T00:58:00Z</cp:lastPrinted>
  <dcterms:modified xsi:type="dcterms:W3CDTF">2026-09-29T07:32:57Z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