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sz w:val="84"/>
          <w:szCs w:val="84"/>
          <w:highlight w:val="none"/>
          <w:u w:val="single"/>
        </w:rPr>
      </w:pPr>
    </w:p>
    <w:p>
      <w:pPr>
        <w:rPr>
          <w:sz w:val="84"/>
          <w:szCs w:val="84"/>
          <w:highlight w:val="none"/>
          <w:u w:val="single"/>
        </w:rPr>
      </w:pPr>
    </w:p>
    <w:p>
      <w:pPr>
        <w:rPr>
          <w:sz w:val="84"/>
          <w:szCs w:val="84"/>
          <w:highlight w:val="none"/>
          <w:u w:val="single"/>
        </w:rPr>
      </w:pPr>
    </w:p>
    <w:p>
      <w:pPr>
        <w:jc w:val="center"/>
        <w:rPr>
          <w:rFonts w:hint="eastAsia"/>
          <w:sz w:val="72"/>
          <w:szCs w:val="72"/>
          <w:highlight w:val="none"/>
        </w:rPr>
      </w:pPr>
      <w:r>
        <w:rPr>
          <w:rFonts w:hint="eastAsia"/>
          <w:sz w:val="72"/>
          <w:szCs w:val="72"/>
          <w:highlight w:val="none"/>
          <w:lang w:eastAsia="zh-CN"/>
        </w:rPr>
        <w:t>202</w:t>
      </w:r>
      <w:r>
        <w:rPr>
          <w:rFonts w:hint="eastAsia"/>
          <w:sz w:val="72"/>
          <w:szCs w:val="72"/>
          <w:highlight w:val="none"/>
          <w:lang w:val="en-US" w:eastAsia="zh-CN"/>
        </w:rPr>
        <w:t>6</w:t>
      </w:r>
      <w:r>
        <w:rPr>
          <w:rFonts w:hint="eastAsia"/>
          <w:sz w:val="72"/>
          <w:szCs w:val="72"/>
          <w:highlight w:val="none"/>
        </w:rPr>
        <w:t>年海口市农村社会</w:t>
      </w:r>
    </w:p>
    <w:p>
      <w:pPr>
        <w:jc w:val="center"/>
        <w:rPr>
          <w:sz w:val="72"/>
          <w:szCs w:val="72"/>
          <w:highlight w:val="none"/>
        </w:rPr>
      </w:pPr>
      <w:r>
        <w:rPr>
          <w:rFonts w:hint="eastAsia"/>
          <w:sz w:val="72"/>
          <w:szCs w:val="72"/>
          <w:highlight w:val="none"/>
        </w:rPr>
        <w:t>养老保险局预算</w:t>
      </w: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rPr>
          <w:sz w:val="84"/>
          <w:szCs w:val="84"/>
          <w:highlight w:val="none"/>
        </w:rPr>
      </w:pPr>
    </w:p>
    <w:p>
      <w:pPr>
        <w:jc w:val="center"/>
        <w:rPr>
          <w:rFonts w:hint="eastAsia" w:ascii="黑体" w:hAnsi="黑体" w:eastAsia="黑体"/>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录</w:t>
      </w:r>
    </w:p>
    <w:p>
      <w:pPr>
        <w:pStyle w:val="7"/>
        <w:numPr>
          <w:ilvl w:val="0"/>
          <w:numId w:val="1"/>
        </w:numPr>
        <w:ind w:firstLineChars="0"/>
        <w:jc w:val="left"/>
        <w:rPr>
          <w:rFonts w:hint="eastAsia" w:ascii="仿宋" w:hAnsi="仿宋" w:eastAsia="仿宋" w:cs="仿宋"/>
          <w:sz w:val="30"/>
          <w:szCs w:val="30"/>
          <w:highlight w:val="none"/>
        </w:rPr>
      </w:pPr>
      <w:r>
        <w:rPr>
          <w:rFonts w:hint="eastAsia" w:ascii="黑体" w:hAnsi="黑体" w:eastAsia="黑体"/>
          <w:sz w:val="32"/>
          <w:szCs w:val="32"/>
          <w:highlight w:val="none"/>
        </w:rPr>
        <w:t xml:space="preserve"> </w:t>
      </w:r>
      <w:r>
        <w:rPr>
          <w:rFonts w:hint="eastAsia" w:ascii="仿宋" w:hAnsi="仿宋" w:eastAsia="仿宋" w:cs="仿宋"/>
          <w:sz w:val="30"/>
          <w:szCs w:val="30"/>
          <w:highlight w:val="none"/>
        </w:rPr>
        <w:t>海口市农村社会养老保险局概况</w:t>
      </w:r>
    </w:p>
    <w:p>
      <w:pPr>
        <w:pStyle w:val="7"/>
        <w:numPr>
          <w:ilvl w:val="0"/>
          <w:numId w:val="0"/>
        </w:numPr>
        <w:ind w:left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一、基本情况</w:t>
      </w:r>
    </w:p>
    <w:p>
      <w:pPr>
        <w:pStyle w:val="7"/>
        <w:numPr>
          <w:ilvl w:val="0"/>
          <w:numId w:val="0"/>
        </w:numPr>
        <w:ind w:left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主要工作职能</w:t>
      </w:r>
    </w:p>
    <w:p>
      <w:pPr>
        <w:pStyle w:val="7"/>
        <w:numPr>
          <w:ilvl w:val="0"/>
          <w:numId w:val="1"/>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海口市农村社会养老保险局预算表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财政拨款收支总表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一般公共预算支出表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一般公共预算基本支出表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一般公共预算“三公”经费支出表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政府性基金预算支出表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政府性基金预算“三公”经费支出表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国有资本经营预算支出表</w:t>
      </w:r>
    </w:p>
    <w:p>
      <w:pPr>
        <w:pStyle w:val="7"/>
        <w:numPr>
          <w:ilvl w:val="0"/>
          <w:numId w:val="2"/>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部门（单位）收支总表</w:t>
      </w:r>
    </w:p>
    <w:p>
      <w:pPr>
        <w:pStyle w:val="7"/>
        <w:numPr>
          <w:ilvl w:val="0"/>
          <w:numId w:val="2"/>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部门（单位）收入总表</w:t>
      </w:r>
    </w:p>
    <w:p>
      <w:pPr>
        <w:pStyle w:val="7"/>
        <w:numPr>
          <w:ilvl w:val="0"/>
          <w:numId w:val="2"/>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部门（单位）支出总表</w:t>
      </w:r>
    </w:p>
    <w:p>
      <w:pPr>
        <w:pStyle w:val="7"/>
        <w:numPr>
          <w:ilvl w:val="0"/>
          <w:numId w:val="2"/>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项目支出绩效信息表</w:t>
      </w:r>
    </w:p>
    <w:p>
      <w:pPr>
        <w:pStyle w:val="7"/>
        <w:numPr>
          <w:ilvl w:val="0"/>
          <w:numId w:val="1"/>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海口市农村社会养老保险局预算情况说明</w:t>
      </w:r>
    </w:p>
    <w:p>
      <w:pPr>
        <w:pStyle w:val="7"/>
        <w:numPr>
          <w:ilvl w:val="0"/>
          <w:numId w:val="1"/>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名词解释</w:t>
      </w:r>
    </w:p>
    <w:p>
      <w:pPr>
        <w:jc w:val="left"/>
        <w:rPr>
          <w:rFonts w:hint="eastAsia" w:ascii="仿宋" w:hAnsi="仿宋" w:eastAsia="仿宋" w:cs="仿宋"/>
          <w:sz w:val="30"/>
          <w:szCs w:val="30"/>
          <w:highlight w:val="none"/>
        </w:rPr>
      </w:pPr>
    </w:p>
    <w:p>
      <w:pPr>
        <w:jc w:val="left"/>
        <w:rPr>
          <w:rFonts w:hint="eastAsia" w:ascii="仿宋" w:hAnsi="仿宋" w:eastAsia="仿宋" w:cs="仿宋"/>
          <w:sz w:val="30"/>
          <w:szCs w:val="30"/>
          <w:highlight w:val="none"/>
        </w:rPr>
      </w:pPr>
    </w:p>
    <w:p>
      <w:pPr>
        <w:pStyle w:val="7"/>
        <w:numPr>
          <w:ilvl w:val="0"/>
          <w:numId w:val="0"/>
        </w:numPr>
        <w:ind w:leftChars="0"/>
        <w:jc w:val="both"/>
        <w:rPr>
          <w:rFonts w:hint="eastAsia" w:ascii="仿宋" w:hAnsi="仿宋" w:eastAsia="仿宋" w:cs="仿宋"/>
          <w:sz w:val="30"/>
          <w:szCs w:val="30"/>
          <w:highlight w:val="none"/>
        </w:rPr>
      </w:pPr>
    </w:p>
    <w:p>
      <w:pPr>
        <w:pStyle w:val="7"/>
        <w:numPr>
          <w:ilvl w:val="0"/>
          <w:numId w:val="0"/>
        </w:numPr>
        <w:ind w:leftChars="0"/>
        <w:jc w:val="both"/>
        <w:rPr>
          <w:rFonts w:hint="eastAsia" w:ascii="方正小标宋简体" w:hAnsi="方正小标宋简体" w:eastAsia="方正小标宋简体" w:cs="方正小标宋简体"/>
          <w:sz w:val="30"/>
          <w:szCs w:val="30"/>
          <w:highlight w:val="none"/>
        </w:rPr>
      </w:pPr>
    </w:p>
    <w:p>
      <w:pPr>
        <w:pStyle w:val="7"/>
        <w:numPr>
          <w:ilvl w:val="0"/>
          <w:numId w:val="3"/>
        </w:numPr>
        <w:ind w:firstLineChars="0"/>
        <w:jc w:val="center"/>
        <w:rPr>
          <w:rFonts w:hint="eastAsia" w:ascii="方正小标宋简体" w:hAnsi="方正小标宋简体" w:eastAsia="方正小标宋简体" w:cs="方正小标宋简体"/>
          <w:sz w:val="30"/>
          <w:szCs w:val="30"/>
          <w:highlight w:val="none"/>
        </w:rPr>
      </w:pPr>
      <w:r>
        <w:rPr>
          <w:rFonts w:hint="eastAsia" w:ascii="方正小标宋简体" w:hAnsi="方正小标宋简体" w:eastAsia="方正小标宋简体" w:cs="方正小标宋简体"/>
          <w:sz w:val="30"/>
          <w:szCs w:val="30"/>
          <w:highlight w:val="none"/>
        </w:rPr>
        <w:t>海口市农村社会养老保险局概况</w:t>
      </w:r>
    </w:p>
    <w:p>
      <w:pPr>
        <w:jc w:val="left"/>
        <w:rPr>
          <w:rFonts w:hint="eastAsia" w:ascii="仿宋" w:hAnsi="仿宋" w:eastAsia="仿宋" w:cs="仿宋"/>
          <w:sz w:val="30"/>
          <w:szCs w:val="30"/>
          <w:highlight w:val="none"/>
        </w:rPr>
      </w:pPr>
    </w:p>
    <w:p>
      <w:pPr>
        <w:pStyle w:val="7"/>
        <w:numPr>
          <w:ilvl w:val="0"/>
          <w:numId w:val="0"/>
        </w:numPr>
        <w:ind w:leftChars="0"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eastAsia="zh-CN"/>
        </w:rPr>
        <w:t>一、基本情况</w:t>
      </w:r>
    </w:p>
    <w:p>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根据《海口市机构编制委员会文件》海编[2010]30号，关于印发海口市农村社会养老保险局机构编制方案机构编制方案的通知，于2010年2月3日同意海口市农村社会养老保险办公室更名为海口市农村社会养老保险局。海口市农村社会养老保险局隶属海口市人力资源和社会保障局，为副处级事业单位。</w:t>
      </w:r>
    </w:p>
    <w:p>
      <w:pPr>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二、</w:t>
      </w:r>
      <w:r>
        <w:rPr>
          <w:rFonts w:hint="eastAsia" w:ascii="黑体" w:hAnsi="黑体" w:eastAsia="黑体" w:cs="黑体"/>
          <w:sz w:val="30"/>
          <w:szCs w:val="30"/>
          <w:highlight w:val="none"/>
        </w:rPr>
        <w:t>主要工作职能</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（一）负责组织指导我市各级城乡居民基本养老保险机构开展城乡居保经办管理服务工作,协调财政补贴资金及时划拨。</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（二）负责制订实施我市城乡居民基本养老保险经办管理办法。</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（三）参加制订实施我市城乡居民基本养老保险基金管理办法、财务管理细则。</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（四）负责制订实施我市城乡居保内控和稽核制度，开展内控和稽核工作,协助税务部门进行城乡居保保费的征缴、养老金的社会化发放和管理工作。</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（五）编制、汇总上报本级城乡居保基金财务、会计和统计报表，统一下发城乡居民基本养老保险专用表、卡及有关证件。办理参保人员的转保和退保手续。</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（六）组织开展城乡居保经办人员培训，参与城乡居保信息化建设和管理工作。</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（七）承办上级主管部门交办的其他工作。</w:t>
      </w:r>
    </w:p>
    <w:p>
      <w:pPr>
        <w:rPr>
          <w:rFonts w:hint="eastAsia" w:ascii="仿宋" w:hAnsi="仿宋" w:eastAsia="仿宋" w:cs="仿宋"/>
          <w:sz w:val="30"/>
          <w:szCs w:val="30"/>
          <w:highlight w:val="none"/>
        </w:rPr>
      </w:pPr>
    </w:p>
    <w:p>
      <w:pPr>
        <w:numPr>
          <w:ilvl w:val="0"/>
          <w:numId w:val="4"/>
        </w:numPr>
        <w:ind w:left="660" w:leftChars="0" w:firstLine="600" w:firstLineChars="0"/>
        <w:jc w:val="center"/>
        <w:rPr>
          <w:rFonts w:hint="eastAsia" w:ascii="方正小标宋简体" w:hAnsi="方正小标宋简体" w:eastAsia="方正小标宋简体" w:cs="方正小标宋简体"/>
          <w:sz w:val="30"/>
          <w:szCs w:val="30"/>
          <w:highlight w:val="none"/>
        </w:rPr>
      </w:pPr>
      <w:r>
        <w:rPr>
          <w:rFonts w:hint="eastAsia" w:ascii="方正小标宋简体" w:hAnsi="方正小标宋简体" w:eastAsia="方正小标宋简体" w:cs="方正小标宋简体"/>
          <w:sz w:val="30"/>
          <w:szCs w:val="30"/>
          <w:highlight w:val="none"/>
          <w:lang w:eastAsia="zh-CN"/>
        </w:rPr>
        <w:t>海口市农村社会养老保险局</w:t>
      </w:r>
      <w:r>
        <w:rPr>
          <w:rFonts w:hint="eastAsia" w:ascii="方正小标宋简体" w:hAnsi="方正小标宋简体" w:eastAsia="方正小标宋简体" w:cs="方正小标宋简体"/>
          <w:sz w:val="30"/>
          <w:szCs w:val="30"/>
          <w:highlight w:val="none"/>
        </w:rPr>
        <w:t>预算表</w:t>
      </w:r>
    </w:p>
    <w:p>
      <w:pPr>
        <w:pStyle w:val="7"/>
        <w:numPr>
          <w:ilvl w:val="0"/>
          <w:numId w:val="5"/>
        </w:numPr>
        <w:rPr>
          <w:rFonts w:hint="eastAsia" w:ascii="黑体" w:hAnsi="黑体" w:eastAsia="黑体" w:cs="黑体"/>
          <w:sz w:val="30"/>
          <w:szCs w:val="30"/>
          <w:highlight w:val="none"/>
        </w:rPr>
      </w:pPr>
      <w:r>
        <w:rPr>
          <w:rFonts w:hint="eastAsia" w:ascii="黑体" w:hAnsi="黑体" w:eastAsia="黑体" w:cs="黑体"/>
          <w:sz w:val="30"/>
          <w:szCs w:val="30"/>
          <w:highlight w:val="none"/>
        </w:rPr>
        <w:t>财政拨款收支总表</w:t>
      </w:r>
    </w:p>
    <w:p>
      <w:pPr>
        <w:pStyle w:val="7"/>
        <w:numPr>
          <w:ilvl w:val="0"/>
          <w:numId w:val="0"/>
        </w:numPr>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drawing>
          <wp:inline distT="0" distB="0" distL="114300" distR="114300">
            <wp:extent cx="5264785" cy="5538470"/>
            <wp:effectExtent l="0" t="0" r="12065" b="5080"/>
            <wp:docPr id="362" name="图片 362" descr="C5626926-33A8-4d4a-8677-60D8F5E98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62" descr="C5626926-33A8-4d4a-8677-60D8F5E988B0"/>
                    <pic:cNvPicPr>
                      <a:picLocks noChangeAspect="1"/>
                    </pic:cNvPicPr>
                  </pic:nvPicPr>
                  <pic:blipFill>
                    <a:blip r:embed="rId4"/>
                    <a:stretch>
                      <a:fillRect/>
                    </a:stretch>
                  </pic:blipFill>
                  <pic:spPr>
                    <a:xfrm>
                      <a:off x="0" y="0"/>
                      <a:ext cx="5264785" cy="5538470"/>
                    </a:xfrm>
                    <a:prstGeom prst="rect">
                      <a:avLst/>
                    </a:prstGeom>
                  </pic:spPr>
                </pic:pic>
              </a:graphicData>
            </a:graphic>
          </wp:inline>
        </w:drawing>
      </w:r>
    </w:p>
    <w:p>
      <w:pPr>
        <w:pStyle w:val="7"/>
        <w:numPr>
          <w:ilvl w:val="0"/>
          <w:numId w:val="0"/>
        </w:numPr>
        <w:rPr>
          <w:rFonts w:hint="eastAsia" w:ascii="黑体" w:hAnsi="黑体" w:eastAsia="黑体" w:cs="黑体"/>
          <w:sz w:val="30"/>
          <w:szCs w:val="30"/>
          <w:highlight w:val="none"/>
        </w:rPr>
      </w:pPr>
    </w:p>
    <w:p>
      <w:pPr>
        <w:pStyle w:val="7"/>
        <w:numPr>
          <w:ilvl w:val="0"/>
          <w:numId w:val="0"/>
        </w:numPr>
        <w:ind w:leftChars="200"/>
        <w:rPr>
          <w:rFonts w:hint="eastAsia" w:ascii="黑体" w:hAnsi="黑体" w:eastAsia="黑体" w:cs="黑体"/>
          <w:sz w:val="30"/>
          <w:szCs w:val="30"/>
          <w:highlight w:val="none"/>
          <w:lang w:eastAsia="zh-CN"/>
        </w:rPr>
      </w:pP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二、</w:t>
      </w:r>
      <w:r>
        <w:rPr>
          <w:rFonts w:hint="eastAsia" w:ascii="黑体" w:hAnsi="黑体" w:eastAsia="黑体" w:cs="黑体"/>
          <w:sz w:val="30"/>
          <w:szCs w:val="30"/>
          <w:highlight w:val="none"/>
        </w:rPr>
        <w:t>一般公共预算支出表</w:t>
      </w:r>
    </w:p>
    <w:p>
      <w:pPr>
        <w:pStyle w:val="7"/>
        <w:numPr>
          <w:ilvl w:val="0"/>
          <w:numId w:val="0"/>
        </w:numPr>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drawing>
          <wp:inline distT="0" distB="0" distL="114300" distR="114300">
            <wp:extent cx="5267325" cy="3938905"/>
            <wp:effectExtent l="0" t="0" r="9525" b="4445"/>
            <wp:docPr id="363" name="图片 363" descr="E9CC7998-3A5E-4993-88A9-78DC20D07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3" descr="E9CC7998-3A5E-4993-88A9-78DC20D07977"/>
                    <pic:cNvPicPr>
                      <a:picLocks noChangeAspect="1"/>
                    </pic:cNvPicPr>
                  </pic:nvPicPr>
                  <pic:blipFill>
                    <a:blip r:embed="rId5"/>
                    <a:stretch>
                      <a:fillRect/>
                    </a:stretch>
                  </pic:blipFill>
                  <pic:spPr>
                    <a:xfrm>
                      <a:off x="0" y="0"/>
                      <a:ext cx="5267325" cy="3938905"/>
                    </a:xfrm>
                    <a:prstGeom prst="rect">
                      <a:avLst/>
                    </a:prstGeom>
                  </pic:spPr>
                </pic:pic>
              </a:graphicData>
            </a:graphic>
          </wp:inline>
        </w:drawing>
      </w: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w:t>
      </w:r>
      <w:r>
        <w:rPr>
          <w:rFonts w:hint="eastAsia" w:ascii="黑体" w:hAnsi="黑体" w:eastAsia="黑体" w:cs="黑体"/>
          <w:sz w:val="30"/>
          <w:szCs w:val="30"/>
          <w:highlight w:val="none"/>
        </w:rPr>
        <w:t>一般公共预算基本支出表</w:t>
      </w:r>
    </w:p>
    <w:p>
      <w:pPr>
        <w:pStyle w:val="7"/>
        <w:numPr>
          <w:ilvl w:val="0"/>
          <w:numId w:val="0"/>
        </w:numPr>
        <w:ind w:leftChars="0"/>
        <w:rPr>
          <w:rFonts w:hint="eastAsia" w:ascii="仿宋" w:hAnsi="仿宋" w:eastAsia="仿宋" w:cs="仿宋"/>
          <w:sz w:val="30"/>
          <w:szCs w:val="30"/>
          <w:highlight w:val="none"/>
        </w:rPr>
      </w:pPr>
      <w:r>
        <w:drawing>
          <wp:inline distT="0" distB="0" distL="114300" distR="114300">
            <wp:extent cx="5267325" cy="6351905"/>
            <wp:effectExtent l="0" t="0" r="9525" b="10795"/>
            <wp:docPr id="364"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1"/>
                    <pic:cNvPicPr>
                      <a:picLocks noChangeAspect="1"/>
                    </pic:cNvPicPr>
                  </pic:nvPicPr>
                  <pic:blipFill>
                    <a:blip r:embed="rId6"/>
                    <a:stretch>
                      <a:fillRect/>
                    </a:stretch>
                  </pic:blipFill>
                  <pic:spPr>
                    <a:xfrm>
                      <a:off x="0" y="0"/>
                      <a:ext cx="5267325" cy="6351905"/>
                    </a:xfrm>
                    <a:prstGeom prst="rect">
                      <a:avLst/>
                    </a:prstGeom>
                    <a:noFill/>
                    <a:ln>
                      <a:noFill/>
                    </a:ln>
                  </pic:spPr>
                </pic:pic>
              </a:graphicData>
            </a:graphic>
          </wp:inline>
        </w:drawing>
      </w: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四、</w:t>
      </w:r>
      <w:r>
        <w:rPr>
          <w:rFonts w:hint="eastAsia" w:ascii="黑体" w:hAnsi="黑体" w:eastAsia="黑体" w:cs="黑体"/>
          <w:sz w:val="30"/>
          <w:szCs w:val="30"/>
          <w:highlight w:val="none"/>
        </w:rPr>
        <w:t>一般公共预算“三公”经费支出表</w:t>
      </w:r>
    </w:p>
    <w:p>
      <w:pPr>
        <w:pStyle w:val="7"/>
        <w:numPr>
          <w:ilvl w:val="0"/>
          <w:numId w:val="0"/>
        </w:numPr>
        <w:ind w:leftChars="200"/>
        <w:rPr>
          <w:rFonts w:hint="eastAsia" w:ascii="黑体" w:hAnsi="黑体" w:eastAsia="黑体" w:cs="黑体"/>
          <w:sz w:val="30"/>
          <w:szCs w:val="30"/>
          <w:highlight w:val="none"/>
          <w:lang w:eastAsia="zh-CN"/>
        </w:rPr>
      </w:pPr>
      <w:r>
        <w:drawing>
          <wp:inline distT="0" distB="0" distL="114300" distR="114300">
            <wp:extent cx="5273675" cy="563245"/>
            <wp:effectExtent l="0" t="0" r="317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3675" cy="563245"/>
                    </a:xfrm>
                    <a:prstGeom prst="rect">
                      <a:avLst/>
                    </a:prstGeom>
                    <a:noFill/>
                    <a:ln>
                      <a:noFill/>
                    </a:ln>
                  </pic:spPr>
                </pic:pic>
              </a:graphicData>
            </a:graphic>
          </wp:inline>
        </w:drawing>
      </w: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五、</w:t>
      </w:r>
      <w:r>
        <w:rPr>
          <w:rFonts w:hint="eastAsia" w:ascii="黑体" w:hAnsi="黑体" w:eastAsia="黑体" w:cs="黑体"/>
          <w:sz w:val="30"/>
          <w:szCs w:val="30"/>
          <w:highlight w:val="none"/>
        </w:rPr>
        <w:t>政府性基金预算支出表</w:t>
      </w:r>
    </w:p>
    <w:p>
      <w:pPr>
        <w:pStyle w:val="7"/>
        <w:numPr>
          <w:ilvl w:val="0"/>
          <w:numId w:val="0"/>
        </w:numPr>
        <w:ind w:leftChars="400"/>
      </w:pPr>
      <w:r>
        <w:drawing>
          <wp:inline distT="0" distB="0" distL="114300" distR="114300">
            <wp:extent cx="5267325" cy="922020"/>
            <wp:effectExtent l="0" t="0" r="952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267325" cy="922020"/>
                    </a:xfrm>
                    <a:prstGeom prst="rect">
                      <a:avLst/>
                    </a:prstGeom>
                    <a:noFill/>
                    <a:ln>
                      <a:noFill/>
                    </a:ln>
                  </pic:spPr>
                </pic:pic>
              </a:graphicData>
            </a:graphic>
          </wp:inline>
        </w:drawing>
      </w:r>
    </w:p>
    <w:tbl>
      <w:tblPr>
        <w:tblStyle w:val="5"/>
        <w:tblW w:w="8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0"/>
        <w:gridCol w:w="8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6" w:hRule="atLeast"/>
        </w:trPr>
        <w:tc>
          <w:tcPr>
            <w:tcW w:w="240" w:type="dxa"/>
            <w:tcBorders>
              <w:top w:val="single" w:color="FFFFFF" w:sz="4" w:space="0"/>
              <w:left w:val="nil"/>
              <w:bottom w:val="nil"/>
              <w:right w:val="single" w:color="FFFFFF" w:sz="4" w:space="0"/>
            </w:tcBorders>
            <w:shd w:val="clear" w:color="auto" w:fill="auto"/>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 xml:space="preserve">      </w:t>
            </w:r>
          </w:p>
        </w:tc>
        <w:tc>
          <w:tcPr>
            <w:tcW w:w="8075"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此项目无预算，此表为空</w:t>
            </w:r>
          </w:p>
        </w:tc>
      </w:tr>
    </w:tbl>
    <w:p>
      <w:pPr>
        <w:pStyle w:val="7"/>
        <w:numPr>
          <w:ilvl w:val="0"/>
          <w:numId w:val="0"/>
        </w:numPr>
        <w:ind w:leftChars="400"/>
        <w:rPr>
          <w:rFonts w:hint="eastAsia"/>
        </w:rPr>
      </w:pP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六、</w:t>
      </w:r>
      <w:r>
        <w:rPr>
          <w:rFonts w:hint="eastAsia" w:ascii="黑体" w:hAnsi="黑体" w:eastAsia="黑体" w:cs="黑体"/>
          <w:sz w:val="30"/>
          <w:szCs w:val="30"/>
          <w:highlight w:val="none"/>
        </w:rPr>
        <w:t>政府性基金预算“三公”经费支出表</w:t>
      </w:r>
    </w:p>
    <w:p>
      <w:pPr>
        <w:pStyle w:val="7"/>
        <w:numPr>
          <w:ilvl w:val="0"/>
          <w:numId w:val="0"/>
        </w:numPr>
        <w:rPr>
          <w:rFonts w:hint="eastAsia" w:ascii="宋体" w:hAnsi="宋体" w:eastAsia="宋体" w:cs="宋体"/>
          <w:i w:val="0"/>
          <w:color w:val="000000"/>
          <w:kern w:val="0"/>
          <w:sz w:val="20"/>
          <w:szCs w:val="20"/>
          <w:highlight w:val="none"/>
          <w:u w:val="none"/>
          <w:lang w:val="en-US" w:eastAsia="zh-CN" w:bidi="ar"/>
        </w:rPr>
      </w:pPr>
      <w:r>
        <w:drawing>
          <wp:inline distT="0" distB="0" distL="114300" distR="114300">
            <wp:extent cx="5273675" cy="589915"/>
            <wp:effectExtent l="0" t="0" r="3175"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273675" cy="589915"/>
                    </a:xfrm>
                    <a:prstGeom prst="rect">
                      <a:avLst/>
                    </a:prstGeom>
                    <a:noFill/>
                    <a:ln>
                      <a:noFill/>
                    </a:ln>
                  </pic:spPr>
                </pic:pic>
              </a:graphicData>
            </a:graphic>
          </wp:inline>
        </w:drawing>
      </w:r>
    </w:p>
    <w:tbl>
      <w:tblPr>
        <w:tblStyle w:val="5"/>
        <w:tblW w:w="8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0"/>
        <w:gridCol w:w="8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1" w:hRule="atLeast"/>
        </w:trPr>
        <w:tc>
          <w:tcPr>
            <w:tcW w:w="240" w:type="dxa"/>
            <w:tcBorders>
              <w:top w:val="single" w:color="FFFFFF" w:sz="4" w:space="0"/>
              <w:left w:val="nil"/>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075"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此项目无预算，此表为空</w:t>
            </w:r>
          </w:p>
        </w:tc>
      </w:tr>
    </w:tbl>
    <w:p>
      <w:pPr>
        <w:pStyle w:val="7"/>
        <w:numPr>
          <w:ilvl w:val="0"/>
          <w:numId w:val="0"/>
        </w:numPr>
        <w:ind w:leftChars="200"/>
        <w:rPr>
          <w:rFonts w:hint="eastAsia" w:ascii="黑体" w:hAnsi="黑体" w:eastAsia="黑体" w:cs="黑体"/>
          <w:sz w:val="30"/>
          <w:szCs w:val="30"/>
          <w:highlight w:val="none"/>
          <w:lang w:eastAsia="zh-CN"/>
        </w:rPr>
      </w:pPr>
    </w:p>
    <w:p>
      <w:pPr>
        <w:pStyle w:val="7"/>
        <w:numPr>
          <w:ilvl w:val="0"/>
          <w:numId w:val="6"/>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国有资本经营预算支出表</w:t>
      </w:r>
      <w:r>
        <w:rPr>
          <w:rFonts w:hint="eastAsia" w:ascii="黑体" w:hAnsi="黑体" w:eastAsia="黑体" w:cs="黑体"/>
          <w:sz w:val="30"/>
          <w:szCs w:val="30"/>
          <w:highlight w:val="none"/>
          <w:lang w:val="en-US" w:eastAsia="zh-CN"/>
        </w:rPr>
        <w:t xml:space="preserve"> </w:t>
      </w:r>
    </w:p>
    <w:p>
      <w:pPr>
        <w:pStyle w:val="7"/>
        <w:numPr>
          <w:ilvl w:val="0"/>
          <w:numId w:val="0"/>
        </w:numPr>
        <w:ind w:leftChars="400"/>
      </w:pPr>
      <w:r>
        <w:drawing>
          <wp:inline distT="0" distB="0" distL="114300" distR="114300">
            <wp:extent cx="5267325" cy="922020"/>
            <wp:effectExtent l="0" t="0" r="952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267325" cy="922020"/>
                    </a:xfrm>
                    <a:prstGeom prst="rect">
                      <a:avLst/>
                    </a:prstGeom>
                    <a:noFill/>
                    <a:ln>
                      <a:noFill/>
                    </a:ln>
                  </pic:spPr>
                </pic:pic>
              </a:graphicData>
            </a:graphic>
          </wp:inline>
        </w:drawing>
      </w:r>
    </w:p>
    <w:tbl>
      <w:tblPr>
        <w:tblStyle w:val="5"/>
        <w:tblW w:w="8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0"/>
        <w:gridCol w:w="8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1" w:hRule="atLeast"/>
        </w:trPr>
        <w:tc>
          <w:tcPr>
            <w:tcW w:w="240" w:type="dxa"/>
            <w:tcBorders>
              <w:top w:val="single" w:color="FFFFFF" w:sz="4" w:space="0"/>
              <w:left w:val="nil"/>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075"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此项目无预算，此表为空</w:t>
            </w:r>
          </w:p>
        </w:tc>
      </w:tr>
    </w:tbl>
    <w:p>
      <w:pPr>
        <w:pStyle w:val="7"/>
        <w:numPr>
          <w:ilvl w:val="0"/>
          <w:numId w:val="0"/>
        </w:numPr>
        <w:ind w:leftChars="400"/>
        <w:rPr>
          <w:rFonts w:hint="eastAsia"/>
        </w:rPr>
      </w:pPr>
    </w:p>
    <w:p>
      <w:pPr>
        <w:pStyle w:val="7"/>
        <w:numPr>
          <w:ilvl w:val="0"/>
          <w:numId w:val="6"/>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rPr>
        <w:t>部门（单位）收支总表</w:t>
      </w:r>
    </w:p>
    <w:p>
      <w:pPr>
        <w:pStyle w:val="7"/>
        <w:numPr>
          <w:ilvl w:val="0"/>
          <w:numId w:val="0"/>
        </w:numPr>
        <w:ind w:leftChars="400"/>
        <w:rPr>
          <w:rFonts w:hint="eastAsia" w:ascii="黑体" w:hAnsi="黑体" w:eastAsia="黑体" w:cs="黑体"/>
          <w:sz w:val="30"/>
          <w:szCs w:val="30"/>
          <w:highlight w:val="none"/>
        </w:rPr>
      </w:pPr>
      <w:r>
        <w:drawing>
          <wp:inline distT="0" distB="0" distL="114300" distR="114300">
            <wp:extent cx="5268595" cy="6709410"/>
            <wp:effectExtent l="0" t="0" r="8255" b="1524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268595" cy="6709410"/>
                    </a:xfrm>
                    <a:prstGeom prst="rect">
                      <a:avLst/>
                    </a:prstGeom>
                    <a:noFill/>
                    <a:ln>
                      <a:noFill/>
                    </a:ln>
                  </pic:spPr>
                </pic:pic>
              </a:graphicData>
            </a:graphic>
          </wp:inline>
        </w:drawing>
      </w:r>
    </w:p>
    <w:p>
      <w:pPr>
        <w:pStyle w:val="7"/>
        <w:numPr>
          <w:ilvl w:val="0"/>
          <w:numId w:val="0"/>
        </w:numPr>
        <w:rPr>
          <w:rFonts w:hint="eastAsia" w:ascii="黑体" w:hAnsi="黑体" w:eastAsia="黑体" w:cs="黑体"/>
          <w:sz w:val="30"/>
          <w:szCs w:val="30"/>
          <w:highlight w:val="none"/>
        </w:rPr>
      </w:pPr>
    </w:p>
    <w:p>
      <w:pPr>
        <w:pStyle w:val="7"/>
        <w:numPr>
          <w:ilvl w:val="0"/>
          <w:numId w:val="0"/>
        </w:numPr>
        <w:jc w:val="left"/>
        <w:rPr>
          <w:highlight w:val="none"/>
        </w:rPr>
      </w:pPr>
    </w:p>
    <w:p>
      <w:pPr>
        <w:pStyle w:val="7"/>
        <w:numPr>
          <w:ilvl w:val="0"/>
          <w:numId w:val="6"/>
        </w:numPr>
        <w:ind w:left="420" w:leftChars="200"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部门（单位）收入总表</w:t>
      </w:r>
    </w:p>
    <w:p>
      <w:pPr>
        <w:pStyle w:val="7"/>
        <w:numPr>
          <w:ilvl w:val="0"/>
          <w:numId w:val="0"/>
        </w:numPr>
        <w:ind w:leftChars="400"/>
        <w:jc w:val="left"/>
        <w:rPr>
          <w:rFonts w:hint="eastAsia" w:ascii="黑体" w:hAnsi="黑体" w:eastAsia="黑体" w:cs="黑体"/>
          <w:sz w:val="30"/>
          <w:szCs w:val="30"/>
          <w:highlight w:val="none"/>
        </w:rPr>
      </w:pPr>
      <w:r>
        <w:drawing>
          <wp:inline distT="0" distB="0" distL="114300" distR="114300">
            <wp:extent cx="5268595" cy="491490"/>
            <wp:effectExtent l="0" t="0" r="8255" b="381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268595" cy="491490"/>
                    </a:xfrm>
                    <a:prstGeom prst="rect">
                      <a:avLst/>
                    </a:prstGeom>
                    <a:noFill/>
                    <a:ln>
                      <a:noFill/>
                    </a:ln>
                  </pic:spPr>
                </pic:pic>
              </a:graphicData>
            </a:graphic>
          </wp:inline>
        </w:drawing>
      </w:r>
    </w:p>
    <w:p>
      <w:pPr>
        <w:pStyle w:val="7"/>
        <w:numPr>
          <w:ilvl w:val="0"/>
          <w:numId w:val="0"/>
        </w:numPr>
        <w:ind w:leftChars="200" w:firstLine="300" w:firstLineChars="100"/>
        <w:jc w:val="left"/>
        <w:rPr>
          <w:rFonts w:hint="eastAsia" w:ascii="黑体" w:hAnsi="黑体" w:eastAsia="黑体" w:cs="黑体"/>
          <w:sz w:val="30"/>
          <w:szCs w:val="30"/>
          <w:highlight w:val="none"/>
          <w:lang w:eastAsia="zh-CN"/>
        </w:rPr>
      </w:pPr>
    </w:p>
    <w:p>
      <w:pPr>
        <w:pStyle w:val="7"/>
        <w:numPr>
          <w:ilvl w:val="0"/>
          <w:numId w:val="6"/>
        </w:numPr>
        <w:ind w:left="420" w:leftChars="200"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部门（单位）支出总表</w:t>
      </w:r>
    </w:p>
    <w:p>
      <w:pPr>
        <w:pStyle w:val="7"/>
        <w:numPr>
          <w:ilvl w:val="0"/>
          <w:numId w:val="0"/>
        </w:numPr>
        <w:ind w:leftChars="400"/>
        <w:jc w:val="left"/>
        <w:rPr>
          <w:rFonts w:hint="eastAsia" w:ascii="黑体" w:hAnsi="黑体" w:eastAsia="黑体" w:cs="黑体"/>
          <w:sz w:val="30"/>
          <w:szCs w:val="30"/>
          <w:highlight w:val="none"/>
        </w:rPr>
      </w:pPr>
      <w:r>
        <w:drawing>
          <wp:inline distT="0" distB="0" distL="114300" distR="114300">
            <wp:extent cx="5264785" cy="3440430"/>
            <wp:effectExtent l="0" t="0" r="12065" b="762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tretch>
                      <a:fillRect/>
                    </a:stretch>
                  </pic:blipFill>
                  <pic:spPr>
                    <a:xfrm>
                      <a:off x="0" y="0"/>
                      <a:ext cx="5264785" cy="3440430"/>
                    </a:xfrm>
                    <a:prstGeom prst="rect">
                      <a:avLst/>
                    </a:prstGeom>
                    <a:noFill/>
                    <a:ln>
                      <a:noFill/>
                    </a:ln>
                  </pic:spPr>
                </pic:pic>
              </a:graphicData>
            </a:graphic>
          </wp:inline>
        </w:drawing>
      </w:r>
    </w:p>
    <w:p>
      <w:pPr>
        <w:pStyle w:val="7"/>
        <w:numPr>
          <w:ilvl w:val="0"/>
          <w:numId w:val="0"/>
        </w:numPr>
        <w:tabs>
          <w:tab w:val="left" w:pos="526"/>
        </w:tabs>
        <w:jc w:val="left"/>
        <w:rPr>
          <w:rFonts w:hint="eastAsia" w:ascii="黑体" w:hAnsi="黑体" w:eastAsia="黑体" w:cs="黑体"/>
          <w:sz w:val="30"/>
          <w:szCs w:val="30"/>
          <w:highlight w:val="none"/>
          <w:lang w:eastAsia="zh-CN"/>
        </w:rPr>
      </w:pPr>
    </w:p>
    <w:p>
      <w:pPr>
        <w:pStyle w:val="7"/>
        <w:numPr>
          <w:ilvl w:val="0"/>
          <w:numId w:val="0"/>
        </w:numPr>
        <w:tabs>
          <w:tab w:val="left" w:pos="526"/>
        </w:tabs>
        <w:ind w:left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十一、</w:t>
      </w:r>
      <w:r>
        <w:rPr>
          <w:rFonts w:hint="eastAsia" w:ascii="黑体" w:hAnsi="黑体" w:eastAsia="黑体" w:cs="黑体"/>
          <w:sz w:val="30"/>
          <w:szCs w:val="30"/>
          <w:highlight w:val="none"/>
        </w:rPr>
        <w:t>项目支出绩效信息表</w:t>
      </w:r>
    </w:p>
    <w:p>
      <w:pPr>
        <w:jc w:val="left"/>
        <w:rPr>
          <w:rFonts w:hint="eastAsia" w:ascii="仿宋" w:hAnsi="仿宋" w:eastAsia="仿宋" w:cs="仿宋"/>
          <w:sz w:val="30"/>
          <w:szCs w:val="30"/>
          <w:highlight w:val="none"/>
          <w:lang w:eastAsia="zh-CN"/>
        </w:rPr>
      </w:pPr>
      <w:r>
        <w:drawing>
          <wp:inline distT="0" distB="0" distL="114300" distR="114300">
            <wp:extent cx="5256530" cy="3875405"/>
            <wp:effectExtent l="0" t="0" r="1270" b="1079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5256530" cy="3875405"/>
                    </a:xfrm>
                    <a:prstGeom prst="rect">
                      <a:avLst/>
                    </a:prstGeom>
                    <a:noFill/>
                    <a:ln>
                      <a:noFill/>
                    </a:ln>
                  </pic:spPr>
                </pic:pic>
              </a:graphicData>
            </a:graphic>
          </wp:inline>
        </w:drawing>
      </w:r>
      <w:bookmarkStart w:id="0" w:name="_GoBack"/>
      <w:bookmarkEnd w:id="0"/>
    </w:p>
    <w:p>
      <w:pPr>
        <w:jc w:val="center"/>
        <w:rPr>
          <w:rFonts w:hint="eastAsia" w:ascii="黑体" w:hAnsi="黑体" w:eastAsia="黑体" w:cs="黑体"/>
          <w:sz w:val="30"/>
          <w:szCs w:val="30"/>
          <w:highlight w:val="none"/>
        </w:rPr>
      </w:pPr>
      <w:r>
        <w:rPr>
          <w:rFonts w:hint="eastAsia" w:ascii="黑体" w:hAnsi="黑体" w:eastAsia="黑体" w:cs="黑体"/>
          <w:sz w:val="30"/>
          <w:szCs w:val="30"/>
          <w:highlight w:val="none"/>
        </w:rPr>
        <w:t>第三部分</w:t>
      </w:r>
      <w:r>
        <w:rPr>
          <w:rFonts w:hint="eastAsia" w:ascii="黑体" w:hAnsi="黑体" w:eastAsia="黑体" w:cs="黑体"/>
          <w:sz w:val="30"/>
          <w:szCs w:val="30"/>
          <w:highlight w:val="none"/>
          <w:lang w:eastAsia="zh-CN"/>
        </w:rPr>
        <w:t>海口市农村社会养老保险局202</w:t>
      </w:r>
      <w:r>
        <w:rPr>
          <w:rFonts w:hint="eastAsia" w:ascii="黑体" w:hAnsi="黑体" w:eastAsia="黑体" w:cs="黑体"/>
          <w:sz w:val="30"/>
          <w:szCs w:val="30"/>
          <w:highlight w:val="none"/>
          <w:lang w:val="en-US" w:eastAsia="zh-CN"/>
        </w:rPr>
        <w:t>6</w:t>
      </w:r>
      <w:r>
        <w:rPr>
          <w:rFonts w:hint="eastAsia" w:ascii="黑体" w:hAnsi="黑体" w:eastAsia="黑体" w:cs="黑体"/>
          <w:sz w:val="30"/>
          <w:szCs w:val="30"/>
          <w:highlight w:val="none"/>
        </w:rPr>
        <w:t>年部门</w:t>
      </w:r>
    </w:p>
    <w:p>
      <w:pPr>
        <w:jc w:val="center"/>
        <w:rPr>
          <w:rFonts w:hint="eastAsia" w:ascii="黑体" w:hAnsi="黑体" w:eastAsia="黑体" w:cs="黑体"/>
          <w:sz w:val="30"/>
          <w:szCs w:val="30"/>
          <w:highlight w:val="none"/>
        </w:rPr>
      </w:pPr>
      <w:r>
        <w:rPr>
          <w:rFonts w:hint="eastAsia" w:ascii="黑体" w:hAnsi="黑体" w:eastAsia="黑体" w:cs="黑体"/>
          <w:sz w:val="30"/>
          <w:szCs w:val="30"/>
          <w:highlight w:val="none"/>
        </w:rPr>
        <w:t>（单位）预算情况说明</w:t>
      </w:r>
    </w:p>
    <w:p>
      <w:pPr>
        <w:jc w:val="center"/>
        <w:rPr>
          <w:rFonts w:hint="eastAsia" w:ascii="仿宋" w:hAnsi="仿宋" w:eastAsia="仿宋" w:cs="仿宋"/>
          <w:sz w:val="30"/>
          <w:szCs w:val="30"/>
          <w:highlight w:val="none"/>
        </w:rPr>
      </w:pPr>
    </w:p>
    <w:p>
      <w:pPr>
        <w:ind w:firstLine="600" w:firstLineChars="200"/>
        <w:jc w:val="left"/>
        <w:rPr>
          <w:rFonts w:hint="eastAsia" w:ascii="仿宋" w:hAnsi="仿宋" w:eastAsia="仿宋" w:cs="仿宋"/>
          <w:sz w:val="30"/>
          <w:szCs w:val="30"/>
          <w:highlight w:val="none"/>
        </w:rPr>
      </w:pPr>
      <w:r>
        <w:rPr>
          <w:rFonts w:hint="eastAsia" w:ascii="黑体" w:hAnsi="黑体" w:eastAsia="黑体" w:cs="黑体"/>
          <w:sz w:val="30"/>
          <w:szCs w:val="30"/>
          <w:highlight w:val="none"/>
        </w:rPr>
        <w:t>一、关于</w:t>
      </w:r>
      <w:r>
        <w:rPr>
          <w:rFonts w:hint="eastAsia" w:ascii="黑体" w:hAnsi="黑体" w:eastAsia="黑体" w:cs="黑体"/>
          <w:sz w:val="30"/>
          <w:szCs w:val="30"/>
          <w:highlight w:val="none"/>
          <w:lang w:eastAsia="zh-CN"/>
        </w:rPr>
        <w:t>海口市农村社会养老保险局202</w:t>
      </w:r>
      <w:r>
        <w:rPr>
          <w:rFonts w:hint="eastAsia" w:ascii="黑体" w:hAnsi="黑体" w:eastAsia="黑体" w:cs="黑体"/>
          <w:sz w:val="30"/>
          <w:szCs w:val="30"/>
          <w:highlight w:val="none"/>
          <w:lang w:val="en-US" w:eastAsia="zh-CN"/>
        </w:rPr>
        <w:t>6</w:t>
      </w:r>
      <w:r>
        <w:rPr>
          <w:rFonts w:hint="eastAsia" w:ascii="黑体" w:hAnsi="黑体" w:eastAsia="黑体" w:cs="黑体"/>
          <w:sz w:val="30"/>
          <w:szCs w:val="30"/>
          <w:highlight w:val="none"/>
        </w:rPr>
        <w:t>年财政拨款收支预算情况的总体说明</w:t>
      </w:r>
    </w:p>
    <w:p>
      <w:pPr>
        <w:spacing w:line="570" w:lineRule="exact"/>
        <w:ind w:firstLine="640" w:firstLineChars="200"/>
        <w:jc w:val="left"/>
        <w:rPr>
          <w:rFonts w:ascii="黑体" w:hAnsi="黑体" w:eastAsia="黑体"/>
          <w:sz w:val="32"/>
          <w:szCs w:val="32"/>
          <w:highlight w:val="none"/>
        </w:rPr>
      </w:pPr>
      <w:r>
        <w:rPr>
          <w:rFonts w:hint="eastAsia" w:ascii="仿宋_GB2312" w:hAnsi="黑体" w:eastAsia="仿宋_GB2312"/>
          <w:sz w:val="32"/>
          <w:szCs w:val="32"/>
          <w:highlight w:val="none"/>
        </w:rPr>
        <w:t>海口市农村社会养老保险局</w:t>
      </w:r>
      <w:r>
        <w:rPr>
          <w:rFonts w:hint="eastAsia" w:ascii="仿宋_GB2312" w:hAnsi="黑体" w:eastAsia="仿宋_GB2312"/>
          <w:sz w:val="32"/>
          <w:szCs w:val="32"/>
          <w:highlight w:val="none"/>
          <w:lang w:eastAsia="zh-CN"/>
        </w:rPr>
        <w:t>202</w:t>
      </w: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年财政拨款收支总预算39,674.71万元。其中，收入总计39,674.71万元，包括一般公共预算本年收入39,674.71万元、政府性基金预算本年收入</w:t>
      </w:r>
      <w:r>
        <w:rPr>
          <w:rFonts w:ascii="仿宋_GB2312" w:hAnsi="黑体" w:eastAsia="仿宋_GB2312" w:cs="仿宋_GB2312"/>
          <w:sz w:val="32"/>
          <w:szCs w:val="32"/>
          <w:highlight w:val="none"/>
        </w:rPr>
        <w:t>0.00</w:t>
      </w:r>
      <w:r>
        <w:rPr>
          <w:rFonts w:hint="eastAsia" w:ascii="仿宋_GB2312" w:hAnsi="黑体" w:eastAsia="仿宋_GB2312"/>
          <w:sz w:val="32"/>
          <w:szCs w:val="32"/>
          <w:highlight w:val="none"/>
        </w:rPr>
        <w:t>万元、上年结转</w:t>
      </w:r>
      <w:r>
        <w:rPr>
          <w:rFonts w:ascii="仿宋_GB2312" w:hAnsi="黑体" w:eastAsia="仿宋_GB2312" w:cs="仿宋_GB2312"/>
          <w:sz w:val="32"/>
          <w:szCs w:val="32"/>
          <w:highlight w:val="none"/>
        </w:rPr>
        <w:t>0.00</w:t>
      </w:r>
      <w:r>
        <w:rPr>
          <w:rFonts w:hint="eastAsia" w:ascii="仿宋_GB2312" w:hAnsi="黑体" w:eastAsia="仿宋_GB2312"/>
          <w:sz w:val="32"/>
          <w:szCs w:val="32"/>
          <w:highlight w:val="none"/>
        </w:rPr>
        <w:t>万元；支出总计39,674.71万元，包括社会保障和就业支出39,628.62万元、卫生健康支出</w:t>
      </w:r>
      <w:r>
        <w:rPr>
          <w:rFonts w:hint="eastAsia" w:ascii="仿宋_GB2312" w:hAnsi="黑体" w:eastAsia="仿宋_GB2312" w:cs="仿宋_GB2312"/>
          <w:sz w:val="32"/>
          <w:szCs w:val="32"/>
          <w:highlight w:val="none"/>
        </w:rPr>
        <w:t>25.81</w:t>
      </w:r>
      <w:r>
        <w:rPr>
          <w:rFonts w:hint="eastAsia" w:ascii="仿宋_GB2312" w:hAnsi="黑体" w:eastAsia="仿宋_GB2312"/>
          <w:sz w:val="32"/>
          <w:szCs w:val="32"/>
          <w:highlight w:val="none"/>
        </w:rPr>
        <w:t>万元、住房保障支出20.28万元。</w:t>
      </w:r>
    </w:p>
    <w:p>
      <w:pPr>
        <w:ind w:firstLine="640"/>
        <w:jc w:val="left"/>
        <w:rPr>
          <w:rFonts w:hint="eastAsia" w:ascii="仿宋" w:hAnsi="仿宋" w:eastAsia="仿宋" w:cs="仿宋"/>
          <w:sz w:val="30"/>
          <w:szCs w:val="30"/>
          <w:highlight w:val="none"/>
        </w:rPr>
      </w:pPr>
      <w:r>
        <w:rPr>
          <w:rFonts w:hint="eastAsia" w:ascii="黑体" w:hAnsi="黑体" w:eastAsia="黑体" w:cs="黑体"/>
          <w:sz w:val="30"/>
          <w:szCs w:val="30"/>
          <w:highlight w:val="none"/>
        </w:rPr>
        <w:t>二、关于</w:t>
      </w:r>
      <w:r>
        <w:rPr>
          <w:rFonts w:hint="eastAsia" w:ascii="黑体" w:hAnsi="黑体" w:eastAsia="黑体" w:cs="黑体"/>
          <w:sz w:val="30"/>
          <w:szCs w:val="30"/>
          <w:highlight w:val="none"/>
          <w:lang w:eastAsia="zh-CN"/>
        </w:rPr>
        <w:t>海口市农村社会养老保险局202</w:t>
      </w:r>
      <w:r>
        <w:rPr>
          <w:rFonts w:hint="eastAsia" w:ascii="黑体" w:hAnsi="黑体" w:eastAsia="黑体" w:cs="黑体"/>
          <w:sz w:val="30"/>
          <w:szCs w:val="30"/>
          <w:highlight w:val="none"/>
          <w:lang w:val="en-US" w:eastAsia="zh-CN"/>
        </w:rPr>
        <w:t>6</w:t>
      </w:r>
      <w:r>
        <w:rPr>
          <w:rFonts w:hint="eastAsia" w:ascii="黑体" w:hAnsi="黑体" w:eastAsia="黑体" w:cs="黑体"/>
          <w:sz w:val="30"/>
          <w:szCs w:val="30"/>
          <w:highlight w:val="none"/>
        </w:rPr>
        <w:t>年一般公共预算当年拨款情况说明</w:t>
      </w:r>
    </w:p>
    <w:p>
      <w:pPr>
        <w:ind w:firstLine="64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（一）一般公共预算当年规模变化情况</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海口市农村社会养老保险局202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年一般公共预算当年拨款</w:t>
      </w:r>
      <w:r>
        <w:rPr>
          <w:rFonts w:hint="eastAsia" w:ascii="仿宋_GB2312" w:hAnsi="黑体" w:eastAsia="仿宋_GB2312"/>
          <w:sz w:val="32"/>
          <w:szCs w:val="32"/>
          <w:highlight w:val="none"/>
        </w:rPr>
        <w:t>39,674.71</w:t>
      </w:r>
      <w:r>
        <w:rPr>
          <w:rFonts w:hint="eastAsia" w:ascii="仿宋" w:hAnsi="仿宋" w:eastAsia="仿宋" w:cs="仿宋"/>
          <w:sz w:val="30"/>
          <w:szCs w:val="30"/>
          <w:highlight w:val="none"/>
          <w:lang w:eastAsia="zh-CN"/>
        </w:rPr>
        <w:t>万元，相比上年</w:t>
      </w:r>
      <w:r>
        <w:rPr>
          <w:rFonts w:hint="eastAsia" w:ascii="仿宋_GB2312" w:hAnsi="黑体" w:eastAsia="仿宋_GB2312"/>
          <w:sz w:val="32"/>
          <w:szCs w:val="32"/>
          <w:highlight w:val="none"/>
        </w:rPr>
        <w:t>33,488.43</w:t>
      </w:r>
      <w:r>
        <w:rPr>
          <w:rFonts w:hint="eastAsia" w:ascii="仿宋" w:hAnsi="仿宋" w:eastAsia="仿宋" w:cs="仿宋"/>
          <w:sz w:val="30"/>
          <w:szCs w:val="30"/>
          <w:highlight w:val="none"/>
          <w:lang w:eastAsia="zh-CN"/>
        </w:rPr>
        <w:t>万元预算数增加</w:t>
      </w:r>
      <w:r>
        <w:rPr>
          <w:rFonts w:hint="eastAsia" w:ascii="仿宋" w:hAnsi="仿宋" w:eastAsia="仿宋" w:cs="仿宋"/>
          <w:sz w:val="30"/>
          <w:szCs w:val="30"/>
          <w:highlight w:val="none"/>
          <w:lang w:val="en-US" w:eastAsia="zh-CN"/>
        </w:rPr>
        <w:t>6186.28</w:t>
      </w:r>
      <w:r>
        <w:rPr>
          <w:rFonts w:hint="eastAsia" w:ascii="仿宋" w:hAnsi="仿宋" w:eastAsia="仿宋" w:cs="仿宋"/>
          <w:sz w:val="30"/>
          <w:szCs w:val="30"/>
          <w:highlight w:val="none"/>
          <w:lang w:eastAsia="zh-CN"/>
        </w:rPr>
        <w:t>万元，主要原因是项目支出（类）财政对基本养老保险基金的补助（款）财政对城乡居民基本养老保险基金的补助（项）38,886</w:t>
      </w:r>
      <w:r>
        <w:rPr>
          <w:rFonts w:hint="eastAsia" w:ascii="仿宋" w:hAnsi="仿宋" w:eastAsia="仿宋" w:cs="仿宋"/>
          <w:sz w:val="30"/>
          <w:szCs w:val="30"/>
          <w:highlight w:val="none"/>
          <w:lang w:val="en-US" w:eastAsia="zh-CN"/>
        </w:rPr>
        <w:t>万元,</w:t>
      </w:r>
      <w:r>
        <w:rPr>
          <w:rFonts w:hint="eastAsia" w:ascii="仿宋" w:hAnsi="仿宋" w:eastAsia="仿宋" w:cs="仿宋"/>
          <w:sz w:val="30"/>
          <w:szCs w:val="30"/>
          <w:highlight w:val="none"/>
          <w:lang w:eastAsia="zh-CN"/>
        </w:rPr>
        <w:t>比上年预算数增加</w:t>
      </w:r>
      <w:r>
        <w:rPr>
          <w:rFonts w:hint="eastAsia" w:ascii="仿宋" w:hAnsi="仿宋" w:eastAsia="仿宋" w:cs="仿宋"/>
          <w:sz w:val="30"/>
          <w:szCs w:val="30"/>
          <w:highlight w:val="none"/>
          <w:lang w:val="en-US" w:eastAsia="zh-CN"/>
        </w:rPr>
        <w:t>6238.63万元;社会保障和就业支出（类）财政代缴社会保险费支出（款）财政代缴城乡居民基本养老保险费支出（项）2026年预算数为388万元,比上年下降26.78万元</w:t>
      </w:r>
      <w:r>
        <w:rPr>
          <w:rFonts w:hint="eastAsia" w:ascii="仿宋" w:hAnsi="仿宋" w:eastAsia="仿宋" w:cs="仿宋"/>
          <w:sz w:val="30"/>
          <w:szCs w:val="30"/>
          <w:highlight w:val="none"/>
          <w:lang w:eastAsia="zh-CN"/>
        </w:rPr>
        <w:t>。</w:t>
      </w:r>
    </w:p>
    <w:p>
      <w:pPr>
        <w:ind w:firstLine="64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（二）一般公共预算当年拨款结构情况</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社会保障和就业支出</w:t>
      </w:r>
      <w:r>
        <w:rPr>
          <w:rFonts w:hint="eastAsia" w:ascii="仿宋_GB2312" w:hAnsi="黑体" w:eastAsia="仿宋_GB2312"/>
          <w:sz w:val="32"/>
          <w:szCs w:val="32"/>
          <w:highlight w:val="none"/>
        </w:rPr>
        <w:t>39,628.62</w:t>
      </w:r>
      <w:r>
        <w:rPr>
          <w:rFonts w:hint="eastAsia" w:ascii="仿宋" w:hAnsi="仿宋" w:eastAsia="仿宋" w:cs="仿宋"/>
          <w:sz w:val="30"/>
          <w:szCs w:val="30"/>
          <w:highlight w:val="none"/>
          <w:lang w:eastAsia="zh-CN"/>
        </w:rPr>
        <w:t>万元，占全年支出9</w:t>
      </w:r>
      <w:r>
        <w:rPr>
          <w:rFonts w:hint="eastAsia" w:ascii="仿宋" w:hAnsi="仿宋" w:eastAsia="仿宋" w:cs="仿宋"/>
          <w:sz w:val="30"/>
          <w:szCs w:val="30"/>
          <w:highlight w:val="none"/>
          <w:lang w:val="en-US" w:eastAsia="zh-CN"/>
        </w:rPr>
        <w:t>9.884</w:t>
      </w:r>
      <w:r>
        <w:rPr>
          <w:rFonts w:hint="eastAsia" w:ascii="仿宋" w:hAnsi="仿宋" w:eastAsia="仿宋" w:cs="仿宋"/>
          <w:sz w:val="30"/>
          <w:szCs w:val="30"/>
          <w:highlight w:val="none"/>
          <w:lang w:eastAsia="zh-CN"/>
        </w:rPr>
        <w:t>%，卫生健康支出</w:t>
      </w:r>
      <w:r>
        <w:rPr>
          <w:rFonts w:hint="eastAsia" w:ascii="仿宋_GB2312" w:hAnsi="黑体" w:eastAsia="仿宋_GB2312" w:cs="仿宋_GB2312"/>
          <w:sz w:val="32"/>
          <w:szCs w:val="32"/>
          <w:highlight w:val="none"/>
        </w:rPr>
        <w:t>25.81</w:t>
      </w:r>
      <w:r>
        <w:rPr>
          <w:rFonts w:hint="eastAsia" w:ascii="仿宋" w:hAnsi="仿宋" w:eastAsia="仿宋" w:cs="仿宋"/>
          <w:sz w:val="30"/>
          <w:szCs w:val="30"/>
          <w:highlight w:val="none"/>
          <w:lang w:eastAsia="zh-CN"/>
        </w:rPr>
        <w:t>万元，占全年支出0</w:t>
      </w:r>
      <w:r>
        <w:rPr>
          <w:rFonts w:hint="eastAsia" w:ascii="仿宋" w:hAnsi="仿宋" w:eastAsia="仿宋" w:cs="仿宋"/>
          <w:sz w:val="30"/>
          <w:szCs w:val="30"/>
          <w:highlight w:val="none"/>
          <w:lang w:val="en-US" w:eastAsia="zh-CN"/>
        </w:rPr>
        <w:t>.065</w:t>
      </w:r>
      <w:r>
        <w:rPr>
          <w:rFonts w:hint="eastAsia" w:ascii="仿宋" w:hAnsi="仿宋" w:eastAsia="仿宋" w:cs="仿宋"/>
          <w:sz w:val="30"/>
          <w:szCs w:val="30"/>
          <w:highlight w:val="none"/>
          <w:lang w:eastAsia="zh-CN"/>
        </w:rPr>
        <w:t>%，住房保障支出</w:t>
      </w:r>
      <w:r>
        <w:rPr>
          <w:rFonts w:hint="eastAsia" w:ascii="仿宋_GB2312" w:hAnsi="黑体" w:eastAsia="仿宋_GB2312"/>
          <w:sz w:val="32"/>
          <w:szCs w:val="32"/>
          <w:highlight w:val="none"/>
        </w:rPr>
        <w:t>20.28</w:t>
      </w:r>
      <w:r>
        <w:rPr>
          <w:rFonts w:hint="eastAsia" w:ascii="仿宋" w:hAnsi="仿宋" w:eastAsia="仿宋" w:cs="仿宋"/>
          <w:sz w:val="30"/>
          <w:szCs w:val="30"/>
          <w:highlight w:val="none"/>
          <w:lang w:eastAsia="zh-CN"/>
        </w:rPr>
        <w:t>万元，占全年支出0</w:t>
      </w:r>
      <w:r>
        <w:rPr>
          <w:rFonts w:hint="eastAsia" w:ascii="仿宋" w:hAnsi="仿宋" w:eastAsia="仿宋" w:cs="仿宋"/>
          <w:sz w:val="30"/>
          <w:szCs w:val="30"/>
          <w:highlight w:val="none"/>
          <w:lang w:val="en-US" w:eastAsia="zh-CN"/>
        </w:rPr>
        <w:t>.051</w:t>
      </w:r>
      <w:r>
        <w:rPr>
          <w:rFonts w:hint="eastAsia" w:ascii="仿宋" w:hAnsi="仿宋" w:eastAsia="仿宋" w:cs="仿宋"/>
          <w:sz w:val="30"/>
          <w:szCs w:val="30"/>
          <w:highlight w:val="none"/>
          <w:lang w:eastAsia="zh-CN"/>
        </w:rPr>
        <w:t>%。</w:t>
      </w:r>
    </w:p>
    <w:p>
      <w:pPr>
        <w:ind w:firstLine="640"/>
        <w:jc w:val="left"/>
        <w:rPr>
          <w:rFonts w:hint="default" w:ascii="仿宋_GB2312" w:hAnsi="黑体" w:eastAsia="仿宋_GB2312"/>
          <w:sz w:val="32"/>
          <w:szCs w:val="32"/>
          <w:highlight w:val="none"/>
          <w:lang w:val="en-US" w:eastAsia="zh-CN"/>
        </w:rPr>
      </w:pPr>
      <w:r>
        <w:rPr>
          <w:rFonts w:hint="eastAsia" w:ascii="仿宋" w:hAnsi="仿宋" w:eastAsia="仿宋" w:cs="仿宋"/>
          <w:sz w:val="30"/>
          <w:szCs w:val="30"/>
          <w:highlight w:val="none"/>
        </w:rPr>
        <w:t>（三）一般公共预算当年拨款具体使用情况</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1.社会保障和就业支出（类）人力资源和社会保障管理事务（款）行政运行（项）202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年预算数为198.65万元，比上年预算数增加</w:t>
      </w:r>
      <w:r>
        <w:rPr>
          <w:rFonts w:hint="eastAsia" w:ascii="仿宋" w:hAnsi="仿宋" w:eastAsia="仿宋" w:cs="仿宋"/>
          <w:sz w:val="30"/>
          <w:szCs w:val="30"/>
          <w:highlight w:val="none"/>
          <w:lang w:val="en-US" w:eastAsia="zh-CN"/>
        </w:rPr>
        <w:t>8.48</w:t>
      </w:r>
      <w:r>
        <w:rPr>
          <w:rFonts w:hint="eastAsia" w:ascii="仿宋" w:hAnsi="仿宋" w:eastAsia="仿宋" w:cs="仿宋"/>
          <w:sz w:val="30"/>
          <w:szCs w:val="30"/>
          <w:highlight w:val="none"/>
          <w:lang w:eastAsia="zh-CN"/>
        </w:rPr>
        <w:t xml:space="preserve">万元，主要原因是基本人员经费增加。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2.社会保障和就业支出（类）人力资源和社会保障管理事务（款）社会保险经办机构（项）202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年预算数为114.42万元，</w:t>
      </w:r>
      <w:r>
        <w:rPr>
          <w:rFonts w:hint="eastAsia" w:ascii="仿宋" w:hAnsi="仿宋" w:eastAsia="仿宋" w:cs="仿宋"/>
          <w:sz w:val="30"/>
          <w:szCs w:val="30"/>
          <w:highlight w:val="none"/>
          <w:lang w:val="en-US" w:eastAsia="zh-CN"/>
        </w:rPr>
        <w:t>与上年下降35.58万元</w:t>
      </w:r>
      <w:r>
        <w:rPr>
          <w:rFonts w:hint="eastAsia" w:ascii="仿宋" w:hAnsi="仿宋" w:eastAsia="仿宋" w:cs="仿宋"/>
          <w:sz w:val="30"/>
          <w:szCs w:val="30"/>
          <w:highlight w:val="none"/>
          <w:lang w:eastAsia="zh-CN"/>
        </w:rPr>
        <w:t>。</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3.社会保障和就业支出（类）行政事业单位养老支出（款）机关事业单位基本养老保险缴费支出（项）202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年预算数为万22.50元，比上年预算数增加</w:t>
      </w:r>
      <w:r>
        <w:rPr>
          <w:rFonts w:hint="eastAsia" w:ascii="仿宋" w:hAnsi="仿宋" w:eastAsia="仿宋" w:cs="仿宋"/>
          <w:sz w:val="30"/>
          <w:szCs w:val="30"/>
          <w:highlight w:val="none"/>
          <w:lang w:val="en-US" w:eastAsia="zh-CN"/>
        </w:rPr>
        <w:t>1.46</w:t>
      </w:r>
      <w:r>
        <w:rPr>
          <w:rFonts w:hint="eastAsia" w:ascii="仿宋" w:hAnsi="仿宋" w:eastAsia="仿宋" w:cs="仿宋"/>
          <w:sz w:val="30"/>
          <w:szCs w:val="30"/>
          <w:highlight w:val="none"/>
          <w:lang w:eastAsia="zh-CN"/>
        </w:rPr>
        <w:t xml:space="preserve">万元，主要原因是机关事业单位基本养老保险缴费支出增加。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.社会保障和就业支出（类）行政事业单位养老支出（款）机关事业单位职业年金缴费支出（项）202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年预算数为11.25万元，比上年预算数增加</w:t>
      </w:r>
      <w:r>
        <w:rPr>
          <w:rFonts w:hint="eastAsia" w:ascii="仿宋" w:hAnsi="仿宋" w:eastAsia="仿宋" w:cs="仿宋"/>
          <w:sz w:val="30"/>
          <w:szCs w:val="30"/>
          <w:highlight w:val="none"/>
          <w:lang w:val="en-US" w:eastAsia="zh-CN"/>
        </w:rPr>
        <w:t>0.73</w:t>
      </w:r>
      <w:r>
        <w:rPr>
          <w:rFonts w:hint="eastAsia" w:ascii="仿宋" w:hAnsi="仿宋" w:eastAsia="仿宋" w:cs="仿宋"/>
          <w:sz w:val="30"/>
          <w:szCs w:val="30"/>
          <w:highlight w:val="none"/>
          <w:lang w:eastAsia="zh-CN"/>
        </w:rPr>
        <w:t xml:space="preserve">万元，主要原因是机关事业单位职业年金缴费支出增加。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.社会保障和就业支出（类）行政事业单位养老支出（款）其他行政事业单位养老支出（项）202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 xml:space="preserve">年预算数为7.80万元， </w:t>
      </w:r>
      <w:r>
        <w:rPr>
          <w:rFonts w:hint="eastAsia" w:ascii="仿宋" w:hAnsi="仿宋" w:eastAsia="仿宋" w:cs="仿宋"/>
          <w:sz w:val="30"/>
          <w:szCs w:val="30"/>
          <w:highlight w:val="none"/>
          <w:lang w:val="en-US" w:eastAsia="zh-CN"/>
        </w:rPr>
        <w:t>与上年持平。</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社会保障和就业支出（类）财政对基本养老保险基金的补助（款）财政对城乡居民基本养老保险基金的补助（项）202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年预算数为38,886万元</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eastAsia="zh-CN"/>
        </w:rPr>
        <w:t>比上年预算数增加</w:t>
      </w:r>
      <w:r>
        <w:rPr>
          <w:rFonts w:hint="eastAsia" w:ascii="仿宋" w:hAnsi="仿宋" w:eastAsia="仿宋" w:cs="仿宋"/>
          <w:sz w:val="30"/>
          <w:szCs w:val="30"/>
          <w:highlight w:val="none"/>
          <w:lang w:val="en-US" w:eastAsia="zh-CN"/>
        </w:rPr>
        <w:t>6238.63</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eastAsia="zh-CN"/>
        </w:rPr>
        <w:t xml:space="preserve">主要原因是财政对城乡居民基本养老保险基金的补助增加。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7.社会保障和就业支出（类）财政代缴社会保险费支出（款）财政代缴城乡居民基本养老保险费支出（项）2026年预算数为388万元,。比上年下降26.78万元</w:t>
      </w:r>
      <w:r>
        <w:rPr>
          <w:rFonts w:hint="eastAsia" w:ascii="仿宋" w:hAnsi="仿宋" w:eastAsia="仿宋" w:cs="仿宋"/>
          <w:sz w:val="30"/>
          <w:szCs w:val="30"/>
          <w:highlight w:val="none"/>
          <w:lang w:eastAsia="zh-CN"/>
        </w:rPr>
        <w:t>。</w:t>
      </w:r>
    </w:p>
    <w:p>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lang w:eastAsia="zh-CN"/>
        </w:rPr>
        <w:t>.卫生健康支出（类）行政事业单位医疗（款）行政单位医疗（项）202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年预算数为7.95万元，与上下降</w:t>
      </w:r>
      <w:r>
        <w:rPr>
          <w:rFonts w:hint="eastAsia" w:ascii="仿宋" w:hAnsi="仿宋" w:eastAsia="仿宋" w:cs="仿宋"/>
          <w:sz w:val="30"/>
          <w:szCs w:val="30"/>
          <w:highlight w:val="none"/>
          <w:lang w:val="en-US" w:eastAsia="zh-CN"/>
        </w:rPr>
        <w:t>2.44</w:t>
      </w:r>
      <w:r>
        <w:rPr>
          <w:rFonts w:hint="eastAsia" w:ascii="仿宋" w:hAnsi="仿宋" w:eastAsia="仿宋" w:cs="仿宋"/>
          <w:sz w:val="30"/>
          <w:szCs w:val="30"/>
          <w:highlight w:val="none"/>
          <w:lang w:eastAsia="zh-CN"/>
        </w:rPr>
        <w:t>。</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lang w:eastAsia="zh-CN"/>
        </w:rPr>
        <w:t>.卫生健康支出（类）行政事业单位医疗（款）公务员医疗补助（项）202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年预算数为16.90万元，比上年预算数增加</w:t>
      </w:r>
      <w:r>
        <w:rPr>
          <w:rFonts w:hint="eastAsia" w:ascii="仿宋" w:hAnsi="仿宋" w:eastAsia="仿宋" w:cs="仿宋"/>
          <w:sz w:val="30"/>
          <w:szCs w:val="30"/>
          <w:highlight w:val="none"/>
          <w:lang w:val="en-US" w:eastAsia="zh-CN"/>
        </w:rPr>
        <w:t>0.92</w:t>
      </w:r>
      <w:r>
        <w:rPr>
          <w:rFonts w:hint="eastAsia" w:ascii="仿宋" w:hAnsi="仿宋" w:eastAsia="仿宋" w:cs="仿宋"/>
          <w:sz w:val="30"/>
          <w:szCs w:val="30"/>
          <w:highlight w:val="none"/>
          <w:lang w:eastAsia="zh-CN"/>
        </w:rPr>
        <w:t>万元，主要原因是基本人员经费增加。</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lang w:eastAsia="zh-CN"/>
        </w:rPr>
        <w:t>.卫生健康支出（类）行政事业单位医疗（款）其他行政事业单位医疗支出（项）202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年预算数为0.96万元，与上年持平。</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lang w:eastAsia="zh-CN"/>
        </w:rPr>
        <w:t>.住房保障支出（类）住房改革支出（款）住房公积金（项）202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年预算数为20.28万元，比上年预算数增加</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lang w:eastAsia="zh-CN"/>
        </w:rPr>
        <w:t>万元，主要原因是基本人员经费增加。</w:t>
      </w:r>
    </w:p>
    <w:p>
      <w:pPr>
        <w:ind w:firstLine="600" w:firstLineChars="200"/>
        <w:rPr>
          <w:rFonts w:hint="default" w:ascii="仿宋" w:hAnsi="仿宋" w:eastAsia="仿宋" w:cs="仿宋"/>
          <w:sz w:val="30"/>
          <w:szCs w:val="30"/>
          <w:highlight w:val="none"/>
          <w:lang w:val="en-US" w:eastAsia="zh-CN"/>
        </w:rPr>
      </w:pPr>
    </w:p>
    <w:p>
      <w:pPr>
        <w:ind w:firstLine="640"/>
        <w:rPr>
          <w:rFonts w:hint="eastAsia" w:ascii="黑体" w:hAnsi="黑体" w:eastAsia="黑体" w:cs="黑体"/>
          <w:sz w:val="30"/>
          <w:szCs w:val="30"/>
          <w:highlight w:val="none"/>
        </w:rPr>
      </w:pPr>
      <w:r>
        <w:rPr>
          <w:rFonts w:hint="eastAsia" w:ascii="黑体" w:hAnsi="黑体" w:eastAsia="黑体" w:cs="黑体"/>
          <w:sz w:val="30"/>
          <w:szCs w:val="30"/>
          <w:highlight w:val="none"/>
        </w:rPr>
        <w:t>三、关于</w:t>
      </w:r>
      <w:r>
        <w:rPr>
          <w:rFonts w:hint="eastAsia" w:ascii="黑体" w:hAnsi="黑体" w:eastAsia="黑体" w:cs="黑体"/>
          <w:sz w:val="30"/>
          <w:szCs w:val="30"/>
          <w:highlight w:val="none"/>
          <w:lang w:eastAsia="zh-CN"/>
        </w:rPr>
        <w:t>海口市农村社会养老保险局202</w:t>
      </w:r>
      <w:r>
        <w:rPr>
          <w:rFonts w:hint="eastAsia" w:ascii="黑体" w:hAnsi="黑体" w:eastAsia="黑体" w:cs="黑体"/>
          <w:sz w:val="30"/>
          <w:szCs w:val="30"/>
          <w:highlight w:val="none"/>
          <w:lang w:val="en-US" w:eastAsia="zh-CN"/>
        </w:rPr>
        <w:t>6</w:t>
      </w:r>
      <w:r>
        <w:rPr>
          <w:rFonts w:hint="eastAsia" w:ascii="黑体" w:hAnsi="黑体" w:eastAsia="黑体" w:cs="黑体"/>
          <w:sz w:val="30"/>
          <w:szCs w:val="30"/>
          <w:highlight w:val="none"/>
        </w:rPr>
        <w:t>年一般公共预算基本支出情况说明</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海口市农村社会养老保险局202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一般公共预算基本支出为286.29万元，其中：</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人员经费2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3.</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lang w:eastAsia="zh-CN"/>
        </w:rPr>
        <w:t>3万元，主要包括：基本工资55.77万元、津贴补贴68.30万元、奖金39.95万元、机关事业单位基本养老保险缴费22.50万元、职业年金缴费11.25万元、职工基本医疗保险缴费7.76万元、公务员医疗补助缴费24.70万元、其他社会保障缴费1.16万元、住房公积金20.28万元、医疗费0.96万元、其他工资福利支出1万元、商品和服务支出10.12万元，主要包括邮电费1.62万元、其他交通费用8.50万元、对个人和家庭的补助</w:t>
      </w:r>
      <w:r>
        <w:rPr>
          <w:rFonts w:hint="eastAsia" w:ascii="仿宋" w:hAnsi="仿宋" w:eastAsia="仿宋" w:cs="仿宋"/>
          <w:sz w:val="30"/>
          <w:szCs w:val="30"/>
          <w:highlight w:val="none"/>
          <w:lang w:val="en-US" w:eastAsia="zh-CN"/>
        </w:rPr>
        <w:t>0.18</w:t>
      </w:r>
      <w:r>
        <w:rPr>
          <w:rFonts w:hint="eastAsia" w:ascii="仿宋" w:hAnsi="仿宋" w:eastAsia="仿宋" w:cs="仿宋"/>
          <w:sz w:val="30"/>
          <w:szCs w:val="30"/>
          <w:highlight w:val="none"/>
          <w:lang w:eastAsia="zh-CN"/>
        </w:rPr>
        <w:t>万元、主要包括奖励金0.1</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lang w:eastAsia="zh-CN"/>
        </w:rPr>
        <w:t>万元。</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公用经费22.3</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万元，主要包括：其他工资福利支出0.</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万元、商品和服务支出1</w:t>
      </w:r>
      <w:r>
        <w:rPr>
          <w:rFonts w:hint="eastAsia" w:ascii="仿宋" w:hAnsi="仿宋" w:eastAsia="仿宋" w:cs="仿宋"/>
          <w:sz w:val="30"/>
          <w:szCs w:val="30"/>
          <w:highlight w:val="none"/>
          <w:lang w:val="en-US" w:eastAsia="zh-CN"/>
        </w:rPr>
        <w:t>8.15</w:t>
      </w:r>
      <w:r>
        <w:rPr>
          <w:rFonts w:hint="eastAsia" w:ascii="仿宋" w:hAnsi="仿宋" w:eastAsia="仿宋" w:cs="仿宋"/>
          <w:sz w:val="30"/>
          <w:szCs w:val="30"/>
          <w:highlight w:val="none"/>
          <w:lang w:eastAsia="zh-CN"/>
        </w:rPr>
        <w:t>万元、包括办公费</w:t>
      </w:r>
      <w:r>
        <w:rPr>
          <w:rFonts w:hint="eastAsia" w:ascii="仿宋" w:hAnsi="仿宋" w:eastAsia="仿宋" w:cs="仿宋"/>
          <w:sz w:val="30"/>
          <w:szCs w:val="30"/>
          <w:highlight w:val="none"/>
          <w:lang w:val="en-US" w:eastAsia="zh-CN"/>
        </w:rPr>
        <w:t>2.6</w:t>
      </w:r>
      <w:r>
        <w:rPr>
          <w:rFonts w:hint="eastAsia" w:ascii="仿宋" w:hAnsi="仿宋" w:eastAsia="仿宋" w:cs="仿宋"/>
          <w:sz w:val="30"/>
          <w:szCs w:val="30"/>
          <w:highlight w:val="none"/>
          <w:lang w:eastAsia="zh-CN"/>
        </w:rPr>
        <w:t>万元、手续费0.05万元、邮电费0.</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万元、差旅费0.</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lang w:eastAsia="zh-CN"/>
        </w:rPr>
        <w:t>万元、维修(护)费0.</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万元、印刷费</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万元，专用材料费</w:t>
      </w:r>
      <w:r>
        <w:rPr>
          <w:rFonts w:hint="eastAsia" w:ascii="仿宋" w:hAnsi="仿宋" w:eastAsia="仿宋" w:cs="仿宋"/>
          <w:sz w:val="30"/>
          <w:szCs w:val="30"/>
          <w:highlight w:val="none"/>
          <w:lang w:val="en-US" w:eastAsia="zh-CN"/>
        </w:rPr>
        <w:t>0.1万元，</w:t>
      </w:r>
      <w:r>
        <w:rPr>
          <w:rFonts w:hint="eastAsia" w:ascii="仿宋" w:hAnsi="仿宋" w:eastAsia="仿宋" w:cs="仿宋"/>
          <w:sz w:val="30"/>
          <w:szCs w:val="30"/>
          <w:highlight w:val="none"/>
          <w:lang w:eastAsia="zh-CN"/>
        </w:rPr>
        <w:t>工会经费2.5</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lang w:eastAsia="zh-CN"/>
        </w:rPr>
        <w:t>万元、公务用车运行维护费3.25万元、其他商品和服务支出6.</w:t>
      </w:r>
      <w:r>
        <w:rPr>
          <w:rFonts w:hint="eastAsia" w:ascii="仿宋" w:hAnsi="仿宋" w:eastAsia="仿宋" w:cs="仿宋"/>
          <w:sz w:val="30"/>
          <w:szCs w:val="30"/>
          <w:highlight w:val="none"/>
          <w:lang w:val="en-US" w:eastAsia="zh-CN"/>
        </w:rPr>
        <w:t>86</w:t>
      </w:r>
      <w:r>
        <w:rPr>
          <w:rFonts w:hint="eastAsia" w:ascii="仿宋" w:hAnsi="仿宋" w:eastAsia="仿宋" w:cs="仿宋"/>
          <w:sz w:val="30"/>
          <w:szCs w:val="30"/>
          <w:highlight w:val="none"/>
          <w:lang w:eastAsia="zh-CN"/>
        </w:rPr>
        <w:t>万元、对个人和家庭的补助</w:t>
      </w:r>
      <w:r>
        <w:rPr>
          <w:rFonts w:hint="eastAsia" w:ascii="仿宋" w:hAnsi="仿宋" w:eastAsia="仿宋" w:cs="仿宋"/>
          <w:sz w:val="30"/>
          <w:szCs w:val="30"/>
          <w:highlight w:val="none"/>
          <w:lang w:val="en-US" w:eastAsia="zh-CN"/>
        </w:rPr>
        <w:t>3.5</w:t>
      </w:r>
      <w:r>
        <w:rPr>
          <w:rFonts w:hint="eastAsia" w:ascii="仿宋" w:hAnsi="仿宋" w:eastAsia="仿宋" w:cs="仿宋"/>
          <w:sz w:val="30"/>
          <w:szCs w:val="30"/>
          <w:highlight w:val="none"/>
          <w:lang w:eastAsia="zh-CN"/>
        </w:rPr>
        <w:t>万元、包括生活补助</w:t>
      </w:r>
      <w:r>
        <w:rPr>
          <w:rFonts w:hint="eastAsia" w:ascii="仿宋" w:hAnsi="仿宋" w:eastAsia="仿宋" w:cs="仿宋"/>
          <w:sz w:val="30"/>
          <w:szCs w:val="30"/>
          <w:highlight w:val="none"/>
          <w:lang w:val="en-US" w:eastAsia="zh-CN"/>
        </w:rPr>
        <w:t>3.5万元</w:t>
      </w:r>
      <w:r>
        <w:rPr>
          <w:rFonts w:hint="eastAsia" w:ascii="仿宋" w:hAnsi="仿宋" w:eastAsia="仿宋" w:cs="仿宋"/>
          <w:sz w:val="30"/>
          <w:szCs w:val="30"/>
          <w:highlight w:val="none"/>
          <w:lang w:eastAsia="zh-CN"/>
        </w:rPr>
        <w:t>。</w:t>
      </w:r>
    </w:p>
    <w:p>
      <w:pPr>
        <w:ind w:firstLine="600" w:firstLineChars="200"/>
        <w:rPr>
          <w:rFonts w:hint="eastAsia" w:ascii="仿宋" w:hAnsi="仿宋" w:eastAsia="仿宋" w:cs="仿宋"/>
          <w:sz w:val="30"/>
          <w:szCs w:val="30"/>
          <w:highlight w:val="none"/>
          <w:shd w:val="clear" w:color="auto" w:fill="FFFFFF"/>
        </w:rPr>
      </w:pPr>
      <w:r>
        <w:rPr>
          <w:rFonts w:hint="eastAsia" w:ascii="黑体" w:hAnsi="黑体" w:eastAsia="黑体" w:cs="黑体"/>
          <w:sz w:val="30"/>
          <w:szCs w:val="30"/>
          <w:highlight w:val="none"/>
          <w:shd w:val="clear" w:color="auto" w:fill="FFFFFF"/>
        </w:rPr>
        <w:t>四、</w:t>
      </w:r>
      <w:r>
        <w:rPr>
          <w:rFonts w:hint="eastAsia" w:ascii="黑体" w:hAnsi="黑体" w:eastAsia="黑体" w:cs="黑体"/>
          <w:sz w:val="30"/>
          <w:szCs w:val="30"/>
          <w:highlight w:val="none"/>
          <w:lang w:eastAsia="zh-CN"/>
        </w:rPr>
        <w:t>海口市农村社会养老保险局202</w:t>
      </w:r>
      <w:r>
        <w:rPr>
          <w:rFonts w:hint="eastAsia" w:ascii="黑体" w:hAnsi="黑体" w:eastAsia="黑体" w:cs="黑体"/>
          <w:sz w:val="30"/>
          <w:szCs w:val="30"/>
          <w:highlight w:val="none"/>
          <w:lang w:val="en-US" w:eastAsia="zh-CN"/>
        </w:rPr>
        <w:t>6</w:t>
      </w:r>
      <w:r>
        <w:rPr>
          <w:rFonts w:hint="eastAsia" w:ascii="黑体" w:hAnsi="黑体" w:eastAsia="黑体" w:cs="黑体"/>
          <w:sz w:val="30"/>
          <w:szCs w:val="30"/>
          <w:highlight w:val="none"/>
        </w:rPr>
        <w:t>年</w:t>
      </w:r>
      <w:r>
        <w:rPr>
          <w:rFonts w:hint="eastAsia" w:ascii="黑体" w:hAnsi="黑体" w:eastAsia="黑体" w:cs="黑体"/>
          <w:sz w:val="30"/>
          <w:szCs w:val="30"/>
          <w:highlight w:val="none"/>
          <w:shd w:val="clear" w:color="auto" w:fill="FFFFFF"/>
        </w:rPr>
        <w:t>“三公”经费预算情况说明</w:t>
      </w:r>
    </w:p>
    <w:p>
      <w:pPr>
        <w:ind w:firstLine="600" w:firstLineChars="200"/>
        <w:rPr>
          <w:rFonts w:ascii="仿宋_GB2312" w:hAnsi="黑体" w:eastAsia="仿宋_GB2312" w:cs="Times New Roman"/>
          <w:sz w:val="32"/>
          <w:szCs w:val="32"/>
          <w:highlight w:val="none"/>
        </w:rPr>
      </w:pPr>
      <w:r>
        <w:rPr>
          <w:rFonts w:hint="eastAsia" w:ascii="仿宋" w:hAnsi="仿宋" w:eastAsia="仿宋" w:cs="仿宋"/>
          <w:sz w:val="30"/>
          <w:szCs w:val="30"/>
          <w:highlight w:val="none"/>
        </w:rPr>
        <w:t>（一）</w:t>
      </w:r>
      <w:r>
        <w:rPr>
          <w:rFonts w:hint="eastAsia" w:ascii="仿宋" w:hAnsi="仿宋" w:eastAsia="仿宋" w:cs="仿宋"/>
          <w:sz w:val="30"/>
          <w:szCs w:val="30"/>
          <w:highlight w:val="none"/>
          <w:lang w:eastAsia="zh-CN"/>
        </w:rPr>
        <w:t>海口市农村社会养老保险局202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年一般公共预算“三公”经费预算数为3.</w:t>
      </w:r>
      <w:r>
        <w:rPr>
          <w:rFonts w:hint="eastAsia" w:ascii="仿宋" w:hAnsi="仿宋" w:eastAsia="仿宋" w:cs="仿宋"/>
          <w:sz w:val="30"/>
          <w:szCs w:val="30"/>
          <w:highlight w:val="none"/>
          <w:lang w:val="en-US" w:eastAsia="zh-CN"/>
        </w:rPr>
        <w:t>25</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rPr>
        <w:t>，其中：</w:t>
      </w:r>
    </w:p>
    <w:p>
      <w:pPr>
        <w:ind w:firstLine="630"/>
        <w:rPr>
          <w:rFonts w:ascii="Times New Roman" w:hAnsi="Times New Roman" w:eastAsia="仿宋_GB2312" w:cs="Times New Roman"/>
          <w:sz w:val="32"/>
          <w:highlight w:val="none"/>
          <w:shd w:val="clear" w:color="auto" w:fill="FFFFFF"/>
        </w:rPr>
      </w:pPr>
      <w:r>
        <w:rPr>
          <w:rFonts w:ascii="Times New Roman" w:hAnsi="Times New Roman" w:eastAsia="仿宋_GB2312" w:cs="Times New Roman"/>
          <w:sz w:val="32"/>
          <w:highlight w:val="none"/>
          <w:shd w:val="clear" w:color="auto" w:fill="FFFFFF"/>
        </w:rPr>
        <w:t>因公出国（境）经费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无。我单位无预算</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根据（如外事部门等）安排的</w:t>
      </w:r>
      <w:r>
        <w:rPr>
          <w:rFonts w:hint="eastAsia" w:ascii="Times New Roman" w:hAnsi="Times New Roman" w:eastAsia="仿宋_GB2312" w:cs="Times New Roman"/>
          <w:sz w:val="32"/>
          <w:highlight w:val="none"/>
          <w:shd w:val="clear" w:color="auto" w:fill="FFFFFF"/>
          <w:lang w:val="en-US" w:eastAsia="zh-CN"/>
        </w:rPr>
        <w:t>2026</w:t>
      </w:r>
      <w:r>
        <w:rPr>
          <w:rFonts w:ascii="Times New Roman" w:hAnsi="Times New Roman" w:eastAsia="仿宋_GB2312" w:cs="Times New Roman"/>
          <w:sz w:val="32"/>
          <w:highlight w:val="none"/>
          <w:shd w:val="clear" w:color="auto" w:fill="FFFFFF"/>
        </w:rPr>
        <w:t>年出国计划，拟安排出国（境）</w:t>
      </w:r>
      <w:r>
        <w:rPr>
          <w:rFonts w:hint="eastAsia" w:ascii="Times New Roman" w:hAnsi="Times New Roman" w:eastAsia="仿宋_GB2312" w:cs="Times New Roman"/>
          <w:sz w:val="32"/>
          <w:highlight w:val="none"/>
          <w:shd w:val="clear" w:color="auto" w:fill="FFFFFF"/>
        </w:rPr>
        <w:t>团（</w:t>
      </w:r>
      <w:r>
        <w:rPr>
          <w:rFonts w:ascii="Times New Roman" w:hAnsi="Times New Roman" w:eastAsia="仿宋_GB2312" w:cs="Times New Roman"/>
          <w:sz w:val="32"/>
          <w:highlight w:val="none"/>
          <w:shd w:val="clear" w:color="auto" w:fill="FFFFFF"/>
        </w:rPr>
        <w:t>组</w:t>
      </w:r>
      <w:r>
        <w:rPr>
          <w:rFonts w:hint="eastAsia" w:ascii="Times New Roman" w:hAnsi="Times New Roman" w:eastAsia="仿宋_GB2312" w:cs="Times New Roman"/>
          <w:sz w:val="32"/>
          <w:highlight w:val="none"/>
          <w:shd w:val="clear" w:color="auto" w:fill="FFFFFF"/>
        </w:rPr>
        <w:t>）</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次，出国（境）</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人。出国（境）团组主要包括：1.</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团组：目的地为</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，人数为</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人，天数为</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天，主要任务为</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公务用车购置及运行费</w:t>
      </w:r>
      <w:r>
        <w:rPr>
          <w:rFonts w:hint="eastAsia" w:ascii="Times New Roman" w:hAnsi="Times New Roman" w:eastAsia="仿宋_GB2312" w:cs="Times New Roman"/>
          <w:sz w:val="32"/>
          <w:highlight w:val="none"/>
          <w:shd w:val="clear" w:color="auto" w:fill="FFFFFF"/>
          <w:lang w:val="en-US" w:eastAsia="zh-CN"/>
        </w:rPr>
        <w:t>3.25</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Times New Roman" w:hAnsi="Times New Roman" w:eastAsia="仿宋_GB2312" w:cs="Times New Roman"/>
          <w:sz w:val="32"/>
          <w:highlight w:val="none"/>
          <w:shd w:val="clear" w:color="auto" w:fill="FFFFFF"/>
          <w:lang w:val="en-US" w:eastAsia="zh-CN"/>
        </w:rPr>
        <w:t>3.25</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w:t>
      </w:r>
      <w:r>
        <w:rPr>
          <w:rFonts w:hint="eastAsia" w:ascii="仿宋" w:hAnsi="仿宋" w:eastAsia="仿宋" w:cs="仿宋"/>
          <w:sz w:val="30"/>
          <w:szCs w:val="30"/>
          <w:highlight w:val="none"/>
          <w:lang w:eastAsia="zh-CN"/>
        </w:rPr>
        <w:t>比上年预算数持平</w:t>
      </w:r>
      <w:r>
        <w:rPr>
          <w:rFonts w:hint="eastAsia" w:ascii="Times New Roman" w:hAnsi="Times New Roman" w:eastAsia="仿宋_GB2312" w:cs="Times New Roman"/>
          <w:sz w:val="32"/>
          <w:highlight w:val="none"/>
          <w:shd w:val="clear" w:color="auto" w:fill="FFFFFF"/>
        </w:rPr>
        <w:t>。公务车保有量</w:t>
      </w:r>
      <w:r>
        <w:rPr>
          <w:rFonts w:hint="eastAsia" w:ascii="Times New Roman" w:hAnsi="Times New Roman" w:eastAsia="仿宋_GB2312" w:cs="Times New Roman"/>
          <w:sz w:val="32"/>
          <w:highlight w:val="none"/>
          <w:shd w:val="clear" w:color="auto" w:fill="FFFFFF"/>
          <w:lang w:val="en-US" w:eastAsia="zh-CN"/>
        </w:rPr>
        <w:t>1</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Times New Roman"/>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w:t>
      </w:r>
      <w:r>
        <w:rPr>
          <w:rFonts w:hint="eastAsia" w:ascii="Times New Roman" w:hAnsi="Times New Roman" w:eastAsia="仿宋_GB2312" w:cs="Times New Roman"/>
          <w:sz w:val="32"/>
          <w:highlight w:val="none"/>
          <w:shd w:val="clear" w:color="auto" w:fill="FFFFFF"/>
        </w:rPr>
        <w:t>，计划接待</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cs="仿宋_GB2312"/>
          <w:sz w:val="32"/>
          <w:szCs w:val="32"/>
          <w:highlight w:val="none"/>
        </w:rPr>
        <w:t>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人</w:t>
      </w:r>
      <w:r>
        <w:rPr>
          <w:rFonts w:hint="eastAsia" w:ascii="Times New Roman" w:hAnsi="Times New Roman" w:eastAsia="仿宋_GB2312" w:cs="Times New Roman"/>
          <w:sz w:val="32"/>
          <w:highlight w:val="none"/>
          <w:shd w:val="clear" w:color="auto" w:fill="FFFFFF"/>
        </w:rPr>
        <w:t>。</w:t>
      </w: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（二）</w:t>
      </w:r>
      <w:r>
        <w:rPr>
          <w:rFonts w:hint="eastAsia" w:ascii="仿宋" w:hAnsi="仿宋" w:eastAsia="仿宋" w:cs="仿宋"/>
          <w:sz w:val="30"/>
          <w:szCs w:val="30"/>
          <w:highlight w:val="none"/>
          <w:lang w:eastAsia="zh-CN"/>
        </w:rPr>
        <w:t>海口市农村社会养老保险局</w:t>
      </w:r>
      <w:r>
        <w:rPr>
          <w:rFonts w:hint="eastAsia" w:ascii="仿宋_GB2312" w:hAnsi="黑体" w:eastAsia="仿宋_GB2312"/>
          <w:sz w:val="32"/>
          <w:szCs w:val="32"/>
          <w:highlight w:val="none"/>
          <w:lang w:val="en-US" w:eastAsia="zh-CN"/>
        </w:rPr>
        <w:t>2026</w:t>
      </w:r>
      <w:r>
        <w:rPr>
          <w:rFonts w:hint="eastAsia" w:ascii="仿宋_GB2312" w:hAnsi="黑体" w:eastAsia="仿宋_GB2312"/>
          <w:sz w:val="32"/>
          <w:szCs w:val="32"/>
          <w:highlight w:val="none"/>
        </w:rPr>
        <w:t>年政府性基金预算“三公”经费预算数为</w:t>
      </w:r>
      <w:r>
        <w:rPr>
          <w:rFonts w:hint="eastAsia" w:ascii="仿宋_GB2312" w:hAnsi="黑体" w:eastAsia="仿宋_GB2312"/>
          <w:sz w:val="32"/>
          <w:szCs w:val="32"/>
          <w:highlight w:val="none"/>
          <w:lang w:val="en-US" w:eastAsia="zh-CN"/>
        </w:rPr>
        <w:t>0</w:t>
      </w:r>
      <w:r>
        <w:rPr>
          <w:rFonts w:hint="eastAsia" w:ascii="仿宋_GB2312" w:hAnsi="黑体" w:eastAsia="仿宋_GB2312"/>
          <w:sz w:val="32"/>
          <w:szCs w:val="32"/>
          <w:highlight w:val="none"/>
        </w:rPr>
        <w:t>万元，其中：</w:t>
      </w:r>
    </w:p>
    <w:p>
      <w:pPr>
        <w:rPr>
          <w:rFonts w:hint="eastAsia" w:ascii="仿宋" w:hAnsi="仿宋" w:eastAsia="仿宋" w:cs="仿宋"/>
          <w:sz w:val="30"/>
          <w:szCs w:val="30"/>
          <w:highlight w:val="none"/>
          <w:shd w:val="clear" w:color="auto" w:fill="FFFFFF"/>
        </w:rPr>
      </w:pPr>
      <w:r>
        <w:rPr>
          <w:rFonts w:ascii="Times New Roman" w:hAnsi="Times New Roman" w:eastAsia="仿宋_GB2312" w:cs="Times New Roman"/>
          <w:sz w:val="32"/>
          <w:highlight w:val="none"/>
          <w:shd w:val="clear" w:color="auto" w:fill="FFFFFF"/>
        </w:rPr>
        <w:t xml:space="preserve">    因公出国（境）经费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根据（如外事部门等）安排的</w:t>
      </w:r>
      <w:r>
        <w:rPr>
          <w:rFonts w:hint="eastAsia" w:ascii="Times New Roman" w:hAnsi="Times New Roman" w:eastAsia="仿宋_GB2312" w:cs="Times New Roman"/>
          <w:sz w:val="32"/>
          <w:highlight w:val="none"/>
          <w:shd w:val="clear" w:color="auto" w:fill="FFFFFF"/>
          <w:lang w:val="en-US" w:eastAsia="zh-CN"/>
        </w:rPr>
        <w:t>2026</w:t>
      </w:r>
      <w:r>
        <w:rPr>
          <w:rFonts w:ascii="Times New Roman" w:hAnsi="Times New Roman" w:eastAsia="仿宋_GB2312" w:cs="Times New Roman"/>
          <w:sz w:val="32"/>
          <w:highlight w:val="none"/>
          <w:shd w:val="clear" w:color="auto" w:fill="FFFFFF"/>
        </w:rPr>
        <w:t>年出国计划，拟安排出国（境）组</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次，出国（境）</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人。出国（境）团组主要包括：1.</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团组：目的地为</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，人数为</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人，天数为</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天，主要任务为</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；公务用车购置及运行费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w:t>
      </w:r>
      <w:r>
        <w:rPr>
          <w:rFonts w:hint="eastAsia" w:ascii="Times New Roman" w:hAnsi="Times New Roman" w:eastAsia="仿宋_GB2312" w:cs="Times New Roman"/>
          <w:sz w:val="32"/>
          <w:highlight w:val="none"/>
          <w:shd w:val="clear" w:color="auto" w:fill="FFFFFF"/>
        </w:rPr>
        <w:t>；公务车保有量</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Times New Roman"/>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w:t>
      </w:r>
      <w:r>
        <w:rPr>
          <w:rFonts w:hint="eastAsia" w:ascii="Times New Roman" w:hAnsi="Times New Roman" w:eastAsia="仿宋_GB2312" w:cs="Times New Roman"/>
          <w:sz w:val="32"/>
          <w:highlight w:val="none"/>
          <w:shd w:val="clear" w:color="auto" w:fill="FFFFFF"/>
        </w:rPr>
        <w:t>。计划接待</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cs="仿宋_GB2312"/>
          <w:sz w:val="32"/>
          <w:szCs w:val="32"/>
          <w:highlight w:val="none"/>
        </w:rPr>
        <w:t>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人</w:t>
      </w:r>
      <w:r>
        <w:rPr>
          <w:rFonts w:hint="eastAsia" w:ascii="Times New Roman" w:hAnsi="Times New Roman" w:eastAsia="仿宋_GB2312" w:cs="Times New Roman"/>
          <w:sz w:val="32"/>
          <w:highlight w:val="none"/>
          <w:shd w:val="clear" w:color="auto" w:fill="FFFFFF"/>
        </w:rPr>
        <w:t>。</w:t>
      </w:r>
      <w:r>
        <w:rPr>
          <w:rFonts w:hint="eastAsia" w:ascii="仿宋" w:hAnsi="仿宋" w:eastAsia="仿宋" w:cs="仿宋"/>
          <w:sz w:val="30"/>
          <w:szCs w:val="30"/>
          <w:highlight w:val="none"/>
          <w:shd w:val="clear" w:color="auto" w:fill="FFFFFF"/>
        </w:rPr>
        <w:t xml:space="preserve"> </w:t>
      </w:r>
    </w:p>
    <w:p>
      <w:pPr>
        <w:spacing w:line="570" w:lineRule="exact"/>
        <w:ind w:firstLine="600" w:firstLineChars="200"/>
        <w:rPr>
          <w:rFonts w:hint="eastAsia" w:ascii="黑体" w:hAnsi="黑体" w:eastAsia="黑体" w:cs="黑体"/>
          <w:sz w:val="30"/>
          <w:szCs w:val="30"/>
          <w:highlight w:val="none"/>
          <w:shd w:val="clear" w:color="auto" w:fill="FFFFFF"/>
        </w:rPr>
      </w:pPr>
      <w:r>
        <w:rPr>
          <w:rFonts w:hint="eastAsia" w:ascii="黑体" w:hAnsi="黑体" w:eastAsia="黑体" w:cs="黑体"/>
          <w:sz w:val="30"/>
          <w:szCs w:val="30"/>
          <w:highlight w:val="none"/>
          <w:shd w:val="clear" w:color="auto" w:fill="FFFFFF"/>
        </w:rPr>
        <w:t>五、关于海口市农村社会养老保险局</w:t>
      </w:r>
      <w:r>
        <w:rPr>
          <w:rFonts w:hint="eastAsia" w:ascii="黑体" w:hAnsi="黑体" w:eastAsia="黑体" w:cs="黑体"/>
          <w:sz w:val="30"/>
          <w:szCs w:val="30"/>
          <w:highlight w:val="none"/>
          <w:shd w:val="clear" w:color="auto" w:fill="FFFFFF"/>
          <w:lang w:eastAsia="zh-CN"/>
        </w:rPr>
        <w:t>202</w:t>
      </w:r>
      <w:r>
        <w:rPr>
          <w:rFonts w:hint="eastAsia" w:ascii="黑体" w:hAnsi="黑体" w:eastAsia="黑体" w:cs="黑体"/>
          <w:sz w:val="30"/>
          <w:szCs w:val="30"/>
          <w:highlight w:val="none"/>
          <w:shd w:val="clear" w:color="auto" w:fill="FFFFFF"/>
          <w:lang w:val="en-US" w:eastAsia="zh-CN"/>
        </w:rPr>
        <w:t>6</w:t>
      </w:r>
      <w:r>
        <w:rPr>
          <w:rFonts w:hint="eastAsia" w:ascii="黑体" w:hAnsi="黑体" w:eastAsia="黑体" w:cs="黑体"/>
          <w:sz w:val="30"/>
          <w:szCs w:val="30"/>
          <w:highlight w:val="none"/>
          <w:shd w:val="clear" w:color="auto" w:fill="FFFFFF"/>
        </w:rPr>
        <w:t>年政府性基金预算当年拨款情况说明</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（一）政府性基金预算当年规模变化情况</w:t>
      </w:r>
    </w:p>
    <w:p>
      <w:pPr>
        <w:ind w:firstLine="640" w:firstLineChars="200"/>
        <w:rPr>
          <w:rFonts w:ascii="Times New Roman" w:hAnsi="Times New Roman" w:eastAsia="仿宋_GB2312" w:cs="Times New Roman"/>
          <w:sz w:val="32"/>
          <w:highlight w:val="none"/>
          <w:shd w:val="clear" w:color="auto" w:fill="FFFFFF"/>
        </w:rPr>
      </w:pPr>
      <w:r>
        <w:rPr>
          <w:rFonts w:hint="eastAsia" w:ascii="Times New Roman" w:hAnsi="Times New Roman" w:eastAsia="仿宋_GB2312" w:cs="Times New Roman"/>
          <w:sz w:val="32"/>
          <w:highlight w:val="none"/>
          <w:shd w:val="clear" w:color="auto" w:fill="FFFFFF"/>
          <w:lang w:eastAsia="zh-CN"/>
        </w:rPr>
        <w:t>本单位</w:t>
      </w:r>
      <w:r>
        <w:rPr>
          <w:rFonts w:hint="eastAsia" w:ascii="Times New Roman" w:hAnsi="Times New Roman" w:eastAsia="仿宋_GB2312" w:cs="Times New Roman"/>
          <w:sz w:val="32"/>
          <w:highlight w:val="none"/>
          <w:shd w:val="clear" w:color="auto" w:fill="FFFFFF"/>
          <w:lang w:val="en-US" w:eastAsia="zh-CN"/>
        </w:rPr>
        <w:t>2026</w:t>
      </w:r>
      <w:r>
        <w:rPr>
          <w:rFonts w:hint="eastAsia" w:ascii="Times New Roman" w:hAnsi="Times New Roman" w:eastAsia="仿宋_GB2312" w:cs="Times New Roman"/>
          <w:sz w:val="32"/>
          <w:highlight w:val="none"/>
          <w:shd w:val="clear" w:color="auto" w:fill="FFFFFF"/>
        </w:rPr>
        <w:t>年政府性基金预算当年拨款</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rPr>
        <w:t>万元，比上年预算数增加/减少/持平</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rPr>
        <w:t>万元，</w:t>
      </w:r>
      <w:r>
        <w:rPr>
          <w:rFonts w:hint="eastAsia" w:ascii="Times New Roman" w:hAnsi="Times New Roman" w:eastAsia="仿宋_GB2312" w:cs="Times New Roman"/>
          <w:sz w:val="32"/>
          <w:highlight w:val="none"/>
          <w:shd w:val="clear" w:color="auto" w:fill="FFFFFF"/>
          <w:lang w:eastAsia="zh-CN"/>
        </w:rPr>
        <w:t>主要原因是</w:t>
      </w:r>
      <w:r>
        <w:rPr>
          <w:rFonts w:hint="eastAsia" w:ascii="Times New Roman" w:hAnsi="Times New Roman" w:eastAsia="仿宋_GB2312" w:cs="Times New Roman"/>
          <w:sz w:val="32"/>
          <w:highlight w:val="none"/>
          <w:shd w:val="clear" w:color="auto" w:fill="FFFFFF"/>
        </w:rPr>
        <w:t>本单位无政府性基金预算收支以及政府性基金预算“三公”经费支出。</w:t>
      </w:r>
    </w:p>
    <w:p>
      <w:pPr>
        <w:ind w:firstLine="600" w:firstLineChars="200"/>
        <w:rPr>
          <w:rFonts w:hint="eastAsia" w:ascii="仿宋" w:hAnsi="仿宋" w:eastAsia="仿宋" w:cs="仿宋"/>
          <w:sz w:val="30"/>
          <w:szCs w:val="30"/>
          <w:highlight w:val="none"/>
          <w:shd w:val="clear" w:color="auto" w:fill="FFFFFF"/>
        </w:rPr>
      </w:pPr>
      <w:r>
        <w:rPr>
          <w:rFonts w:hint="eastAsia" w:ascii="黑体" w:hAnsi="黑体" w:eastAsia="黑体" w:cs="黑体"/>
          <w:sz w:val="30"/>
          <w:szCs w:val="30"/>
          <w:highlight w:val="none"/>
          <w:shd w:val="clear" w:color="auto" w:fill="FFFFFF"/>
          <w:lang w:eastAsia="zh-CN"/>
        </w:rPr>
        <w:t>六、</w:t>
      </w:r>
      <w:r>
        <w:rPr>
          <w:rFonts w:hint="eastAsia" w:ascii="黑体" w:hAnsi="黑体" w:eastAsia="黑体" w:cs="黑体"/>
          <w:sz w:val="30"/>
          <w:szCs w:val="30"/>
          <w:highlight w:val="none"/>
          <w:shd w:val="clear" w:color="auto" w:fill="FFFFFF"/>
        </w:rPr>
        <w:t>关于</w:t>
      </w:r>
      <w:r>
        <w:rPr>
          <w:rFonts w:hint="eastAsia" w:ascii="黑体" w:hAnsi="黑体" w:eastAsia="黑体" w:cs="黑体"/>
          <w:sz w:val="30"/>
          <w:szCs w:val="30"/>
          <w:highlight w:val="none"/>
          <w:lang w:eastAsia="zh-CN"/>
        </w:rPr>
        <w:t>海口市农村社会养老保险局202</w:t>
      </w:r>
      <w:r>
        <w:rPr>
          <w:rFonts w:hint="eastAsia" w:ascii="黑体" w:hAnsi="黑体" w:eastAsia="黑体" w:cs="黑体"/>
          <w:sz w:val="30"/>
          <w:szCs w:val="30"/>
          <w:highlight w:val="none"/>
          <w:lang w:val="en-US" w:eastAsia="zh-CN"/>
        </w:rPr>
        <w:t>6</w:t>
      </w:r>
      <w:r>
        <w:rPr>
          <w:rFonts w:hint="eastAsia" w:ascii="黑体" w:hAnsi="黑体" w:eastAsia="黑体" w:cs="黑体"/>
          <w:sz w:val="30"/>
          <w:szCs w:val="30"/>
          <w:highlight w:val="none"/>
        </w:rPr>
        <w:t>年</w:t>
      </w:r>
      <w:r>
        <w:rPr>
          <w:rFonts w:hint="eastAsia" w:ascii="黑体" w:hAnsi="黑体" w:eastAsia="黑体" w:cs="黑体"/>
          <w:sz w:val="30"/>
          <w:szCs w:val="30"/>
          <w:highlight w:val="none"/>
          <w:shd w:val="clear" w:color="auto" w:fill="FFFFFF"/>
        </w:rPr>
        <w:t>收支预算情况的总体说明</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按照综合预算原则，海口市农村社会养老保险局所有收入和支出均纳入部门预算管理。收入包括：一般公共预算收入；支出包括：社会保障和就业支出、卫生健康支出、住房保障支出。海口市农村社会养老保险局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年收支总预算39,674.71万元。</w:t>
      </w:r>
    </w:p>
    <w:p>
      <w:pPr>
        <w:ind w:firstLine="600" w:firstLineChars="200"/>
        <w:rPr>
          <w:rFonts w:hint="eastAsia" w:ascii="黑体" w:hAnsi="黑体" w:eastAsia="黑体" w:cs="黑体"/>
          <w:sz w:val="30"/>
          <w:szCs w:val="30"/>
          <w:highlight w:val="none"/>
          <w:shd w:val="clear" w:color="auto" w:fill="FFFFFF"/>
        </w:rPr>
      </w:pPr>
      <w:r>
        <w:rPr>
          <w:rFonts w:hint="eastAsia" w:ascii="黑体" w:hAnsi="黑体" w:eastAsia="黑体" w:cs="黑体"/>
          <w:sz w:val="30"/>
          <w:szCs w:val="30"/>
          <w:highlight w:val="none"/>
          <w:shd w:val="clear" w:color="auto" w:fill="FFFFFF"/>
          <w:lang w:eastAsia="zh-CN"/>
        </w:rPr>
        <w:t>七</w:t>
      </w:r>
      <w:r>
        <w:rPr>
          <w:rFonts w:hint="eastAsia" w:ascii="黑体" w:hAnsi="黑体" w:eastAsia="黑体" w:cs="黑体"/>
          <w:sz w:val="30"/>
          <w:szCs w:val="30"/>
          <w:highlight w:val="none"/>
          <w:shd w:val="clear" w:color="auto" w:fill="FFFFFF"/>
        </w:rPr>
        <w:t>、关于</w:t>
      </w:r>
      <w:r>
        <w:rPr>
          <w:rFonts w:hint="eastAsia" w:ascii="黑体" w:hAnsi="黑体" w:eastAsia="黑体" w:cs="黑体"/>
          <w:sz w:val="30"/>
          <w:szCs w:val="30"/>
          <w:highlight w:val="none"/>
          <w:lang w:eastAsia="zh-CN"/>
        </w:rPr>
        <w:t>海口市农村社会养老保险局20</w:t>
      </w:r>
      <w:r>
        <w:rPr>
          <w:rFonts w:hint="eastAsia" w:ascii="黑体" w:hAnsi="黑体" w:eastAsia="黑体" w:cs="黑体"/>
          <w:sz w:val="30"/>
          <w:szCs w:val="30"/>
          <w:highlight w:val="none"/>
          <w:lang w:val="en-US" w:eastAsia="zh-CN"/>
        </w:rPr>
        <w:t>26</w:t>
      </w:r>
      <w:r>
        <w:rPr>
          <w:rFonts w:hint="eastAsia" w:ascii="黑体" w:hAnsi="黑体" w:eastAsia="黑体" w:cs="黑体"/>
          <w:sz w:val="30"/>
          <w:szCs w:val="30"/>
          <w:highlight w:val="none"/>
          <w:shd w:val="clear" w:color="auto" w:fill="FFFFFF"/>
        </w:rPr>
        <w:t>年收入预算情况说明</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海口市农村社会养老保险局202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年收入预算万39,674.71元，其中：上年结转0.00万元，占0.00%；一般公共预算收入万39,674.71元，占100%，；政府性基金收入0万元，占0.00%。比上年预算数增加</w:t>
      </w:r>
      <w:r>
        <w:rPr>
          <w:rFonts w:hint="eastAsia" w:ascii="仿宋" w:hAnsi="仿宋" w:eastAsia="仿宋" w:cs="仿宋"/>
          <w:sz w:val="30"/>
          <w:szCs w:val="30"/>
          <w:highlight w:val="none"/>
          <w:lang w:val="en-US" w:eastAsia="zh-CN"/>
        </w:rPr>
        <w:t>6186.28</w:t>
      </w:r>
      <w:r>
        <w:rPr>
          <w:rFonts w:hint="eastAsia" w:ascii="仿宋" w:hAnsi="仿宋" w:eastAsia="仿宋" w:cs="仿宋"/>
          <w:sz w:val="30"/>
          <w:szCs w:val="30"/>
          <w:highlight w:val="none"/>
          <w:lang w:eastAsia="zh-CN"/>
        </w:rPr>
        <w:t>万元，主要原因是项目支出（类）财政对基本养老保险基金的补助（款）财政对城乡居民基本养老保险基金的补助（项）38,886</w:t>
      </w:r>
      <w:r>
        <w:rPr>
          <w:rFonts w:hint="eastAsia" w:ascii="仿宋" w:hAnsi="仿宋" w:eastAsia="仿宋" w:cs="仿宋"/>
          <w:sz w:val="30"/>
          <w:szCs w:val="30"/>
          <w:highlight w:val="none"/>
          <w:lang w:val="en-US" w:eastAsia="zh-CN"/>
        </w:rPr>
        <w:t>万元,</w:t>
      </w:r>
      <w:r>
        <w:rPr>
          <w:rFonts w:hint="eastAsia" w:ascii="仿宋" w:hAnsi="仿宋" w:eastAsia="仿宋" w:cs="仿宋"/>
          <w:sz w:val="30"/>
          <w:szCs w:val="30"/>
          <w:highlight w:val="none"/>
          <w:lang w:eastAsia="zh-CN"/>
        </w:rPr>
        <w:t>比上年预算数增加</w:t>
      </w:r>
      <w:r>
        <w:rPr>
          <w:rFonts w:hint="eastAsia" w:ascii="仿宋" w:hAnsi="仿宋" w:eastAsia="仿宋" w:cs="仿宋"/>
          <w:sz w:val="30"/>
          <w:szCs w:val="30"/>
          <w:highlight w:val="none"/>
          <w:lang w:val="en-US" w:eastAsia="zh-CN"/>
        </w:rPr>
        <w:t>6238.63万元;社会保障和就业支出（类）财政代缴社会保险费支出（款）财政代缴城乡居民基本养老保险费支出（项）2026年预算数388万元,比上年下降26.78万元</w:t>
      </w:r>
      <w:r>
        <w:rPr>
          <w:rFonts w:hint="eastAsia" w:ascii="仿宋" w:hAnsi="仿宋" w:eastAsia="仿宋" w:cs="仿宋"/>
          <w:sz w:val="30"/>
          <w:szCs w:val="30"/>
          <w:highlight w:val="none"/>
          <w:lang w:eastAsia="zh-CN"/>
        </w:rPr>
        <w:t>。</w:t>
      </w:r>
    </w:p>
    <w:p>
      <w:pPr>
        <w:ind w:firstLine="600" w:firstLineChars="200"/>
        <w:rPr>
          <w:rFonts w:hint="eastAsia" w:ascii="仿宋" w:hAnsi="仿宋" w:eastAsia="仿宋" w:cs="仿宋"/>
          <w:sz w:val="30"/>
          <w:szCs w:val="30"/>
          <w:highlight w:val="none"/>
          <w:shd w:val="clear" w:color="auto" w:fill="FFFFFF"/>
        </w:rPr>
      </w:pPr>
      <w:r>
        <w:rPr>
          <w:rFonts w:hint="eastAsia" w:ascii="黑体" w:hAnsi="黑体" w:eastAsia="黑体" w:cs="黑体"/>
          <w:sz w:val="30"/>
          <w:szCs w:val="30"/>
          <w:highlight w:val="none"/>
          <w:shd w:val="clear" w:color="auto" w:fill="FFFFFF"/>
          <w:lang w:eastAsia="zh-CN"/>
        </w:rPr>
        <w:t>八</w:t>
      </w:r>
      <w:r>
        <w:rPr>
          <w:rFonts w:hint="eastAsia" w:ascii="黑体" w:hAnsi="黑体" w:eastAsia="黑体" w:cs="黑体"/>
          <w:sz w:val="30"/>
          <w:szCs w:val="30"/>
          <w:highlight w:val="none"/>
          <w:shd w:val="clear" w:color="auto" w:fill="FFFFFF"/>
        </w:rPr>
        <w:t>、关于</w:t>
      </w:r>
      <w:r>
        <w:rPr>
          <w:rFonts w:hint="eastAsia" w:ascii="黑体" w:hAnsi="黑体" w:eastAsia="黑体" w:cs="黑体"/>
          <w:sz w:val="30"/>
          <w:szCs w:val="30"/>
          <w:highlight w:val="none"/>
          <w:lang w:eastAsia="zh-CN"/>
        </w:rPr>
        <w:t>海口市农村社会养老保险局202</w:t>
      </w:r>
      <w:r>
        <w:rPr>
          <w:rFonts w:hint="eastAsia" w:ascii="黑体" w:hAnsi="黑体" w:eastAsia="黑体" w:cs="黑体"/>
          <w:sz w:val="30"/>
          <w:szCs w:val="30"/>
          <w:highlight w:val="none"/>
          <w:lang w:val="en-US" w:eastAsia="zh-CN"/>
        </w:rPr>
        <w:t>6</w:t>
      </w:r>
      <w:r>
        <w:rPr>
          <w:rFonts w:hint="eastAsia" w:ascii="黑体" w:hAnsi="黑体" w:eastAsia="黑体" w:cs="黑体"/>
          <w:sz w:val="30"/>
          <w:szCs w:val="30"/>
          <w:highlight w:val="none"/>
          <w:shd w:val="clear" w:color="auto" w:fill="FFFFFF"/>
        </w:rPr>
        <w:t>年支出预算情况说明</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海口市农村社会养老保险局202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年支出预算39,674.71万元，其中：基本支出286.29万元，占0</w:t>
      </w:r>
      <w:r>
        <w:rPr>
          <w:rFonts w:hint="eastAsia" w:ascii="仿宋" w:hAnsi="仿宋" w:eastAsia="仿宋" w:cs="仿宋"/>
          <w:sz w:val="30"/>
          <w:szCs w:val="30"/>
          <w:highlight w:val="none"/>
          <w:lang w:val="en-US" w:eastAsia="zh-CN"/>
        </w:rPr>
        <w:t>.72</w:t>
      </w:r>
      <w:r>
        <w:rPr>
          <w:rFonts w:hint="eastAsia" w:ascii="仿宋" w:hAnsi="仿宋" w:eastAsia="仿宋" w:cs="仿宋"/>
          <w:sz w:val="30"/>
          <w:szCs w:val="30"/>
          <w:highlight w:val="none"/>
          <w:lang w:eastAsia="zh-CN"/>
        </w:rPr>
        <w:t>%；项目支出万39,388.42元，占9</w:t>
      </w:r>
      <w:r>
        <w:rPr>
          <w:rFonts w:hint="eastAsia" w:ascii="仿宋" w:hAnsi="仿宋" w:eastAsia="仿宋" w:cs="仿宋"/>
          <w:sz w:val="30"/>
          <w:szCs w:val="30"/>
          <w:highlight w:val="none"/>
          <w:lang w:val="en-US" w:eastAsia="zh-CN"/>
        </w:rPr>
        <w:t>9.28</w:t>
      </w:r>
      <w:r>
        <w:rPr>
          <w:rFonts w:hint="eastAsia" w:ascii="仿宋" w:hAnsi="仿宋" w:eastAsia="仿宋" w:cs="仿宋"/>
          <w:sz w:val="30"/>
          <w:szCs w:val="30"/>
          <w:highlight w:val="none"/>
          <w:lang w:eastAsia="zh-CN"/>
        </w:rPr>
        <w:t>%。比上年预算数增加</w:t>
      </w:r>
      <w:r>
        <w:rPr>
          <w:rFonts w:hint="eastAsia" w:ascii="仿宋" w:hAnsi="仿宋" w:eastAsia="仿宋" w:cs="仿宋"/>
          <w:sz w:val="30"/>
          <w:szCs w:val="30"/>
          <w:highlight w:val="none"/>
          <w:lang w:val="en-US" w:eastAsia="zh-CN"/>
        </w:rPr>
        <w:t>6186.28</w:t>
      </w:r>
      <w:r>
        <w:rPr>
          <w:rFonts w:hint="eastAsia" w:ascii="仿宋" w:hAnsi="仿宋" w:eastAsia="仿宋" w:cs="仿宋"/>
          <w:sz w:val="30"/>
          <w:szCs w:val="30"/>
          <w:highlight w:val="none"/>
          <w:lang w:eastAsia="zh-CN"/>
        </w:rPr>
        <w:t>万元，主要原因是项目支出（类）财政对基本养老保险基金的补助（款）财政对城乡居民基本养老保险基金的补助（项）38,886</w:t>
      </w:r>
      <w:r>
        <w:rPr>
          <w:rFonts w:hint="eastAsia" w:ascii="仿宋" w:hAnsi="仿宋" w:eastAsia="仿宋" w:cs="仿宋"/>
          <w:sz w:val="30"/>
          <w:szCs w:val="30"/>
          <w:highlight w:val="none"/>
          <w:lang w:val="en-US" w:eastAsia="zh-CN"/>
        </w:rPr>
        <w:t>万元,</w:t>
      </w:r>
      <w:r>
        <w:rPr>
          <w:rFonts w:hint="eastAsia" w:ascii="仿宋" w:hAnsi="仿宋" w:eastAsia="仿宋" w:cs="仿宋"/>
          <w:sz w:val="30"/>
          <w:szCs w:val="30"/>
          <w:highlight w:val="none"/>
          <w:lang w:eastAsia="zh-CN"/>
        </w:rPr>
        <w:t>比上年预算数增加</w:t>
      </w:r>
      <w:r>
        <w:rPr>
          <w:rFonts w:hint="eastAsia" w:ascii="仿宋" w:hAnsi="仿宋" w:eastAsia="仿宋" w:cs="仿宋"/>
          <w:sz w:val="30"/>
          <w:szCs w:val="30"/>
          <w:highlight w:val="none"/>
          <w:lang w:val="en-US" w:eastAsia="zh-CN"/>
        </w:rPr>
        <w:t>6238.63万元;社会保障和就业支出（类）财政代缴社会保险费支出（款）财政代缴城乡居民基本养老保险费支出（项）2026年预算数为388万元,比上年下降26.78万元</w:t>
      </w:r>
      <w:r>
        <w:rPr>
          <w:rFonts w:hint="eastAsia" w:ascii="仿宋" w:hAnsi="仿宋" w:eastAsia="仿宋" w:cs="仿宋"/>
          <w:sz w:val="30"/>
          <w:szCs w:val="30"/>
          <w:highlight w:val="none"/>
          <w:lang w:eastAsia="zh-CN"/>
        </w:rPr>
        <w:t>。</w:t>
      </w:r>
    </w:p>
    <w:p>
      <w:pPr>
        <w:ind w:firstLine="600" w:firstLineChars="200"/>
        <w:rPr>
          <w:rFonts w:hint="eastAsia" w:ascii="黑体" w:hAnsi="黑体" w:eastAsia="黑体" w:cs="黑体"/>
          <w:sz w:val="30"/>
          <w:szCs w:val="30"/>
          <w:highlight w:val="none"/>
          <w:shd w:val="clear" w:color="auto" w:fill="FFFFFF"/>
        </w:rPr>
      </w:pPr>
      <w:r>
        <w:rPr>
          <w:rFonts w:hint="eastAsia" w:ascii="黑体" w:hAnsi="黑体" w:eastAsia="黑体" w:cs="黑体"/>
          <w:sz w:val="30"/>
          <w:szCs w:val="30"/>
          <w:highlight w:val="none"/>
          <w:shd w:val="clear" w:color="auto" w:fill="FFFFFF"/>
          <w:lang w:eastAsia="zh-CN"/>
        </w:rPr>
        <w:t>九</w:t>
      </w:r>
      <w:r>
        <w:rPr>
          <w:rFonts w:hint="eastAsia" w:ascii="黑体" w:hAnsi="黑体" w:eastAsia="黑体" w:cs="黑体"/>
          <w:sz w:val="30"/>
          <w:szCs w:val="30"/>
          <w:highlight w:val="none"/>
          <w:shd w:val="clear" w:color="auto" w:fill="FFFFFF"/>
        </w:rPr>
        <w:t>、其他重要事项的情况说明</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（一）机关运行经费（行政单位、参照公务员法管理的事业单位需说明，其他单位不需要说明）</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eastAsia="zh-CN"/>
        </w:rPr>
        <w:t>海口市农村社会养老保险局公用</w:t>
      </w:r>
      <w:r>
        <w:rPr>
          <w:rFonts w:hint="eastAsia" w:ascii="仿宋" w:hAnsi="仿宋" w:eastAsia="仿宋" w:cs="仿宋"/>
          <w:sz w:val="30"/>
          <w:szCs w:val="30"/>
          <w:highlight w:val="none"/>
        </w:rPr>
        <w:t>经费预算22.3</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万元。</w:t>
      </w:r>
    </w:p>
    <w:p>
      <w:pPr>
        <w:numPr>
          <w:ilvl w:val="0"/>
          <w:numId w:val="7"/>
        </w:num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政府采购情况</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2026年海口市农村社会养老保险局政府采购预算总额0万元，其中：政府采购货物预算0万元。</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国有资产占有使用情况</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截至</w:t>
      </w:r>
      <w:r>
        <w:rPr>
          <w:rFonts w:hint="eastAsia" w:ascii="仿宋" w:hAnsi="仿宋" w:eastAsia="仿宋" w:cs="仿宋"/>
          <w:sz w:val="30"/>
          <w:szCs w:val="30"/>
          <w:highlight w:val="none"/>
          <w:lang w:val="en-US" w:eastAsia="zh-CN"/>
        </w:rPr>
        <w:t>2025</w:t>
      </w:r>
      <w:r>
        <w:rPr>
          <w:rFonts w:hint="eastAsia" w:ascii="仿宋" w:hAnsi="仿宋" w:eastAsia="仿宋" w:cs="仿宋"/>
          <w:sz w:val="30"/>
          <w:szCs w:val="30"/>
          <w:highlight w:val="none"/>
        </w:rPr>
        <w:t>年12月31日，</w:t>
      </w:r>
      <w:r>
        <w:rPr>
          <w:rFonts w:hint="eastAsia" w:ascii="仿宋" w:hAnsi="仿宋" w:eastAsia="仿宋" w:cs="仿宋"/>
          <w:sz w:val="30"/>
          <w:szCs w:val="30"/>
          <w:highlight w:val="none"/>
          <w:lang w:eastAsia="zh-CN"/>
        </w:rPr>
        <w:t>海口市农村社会养老保险局</w:t>
      </w:r>
      <w:r>
        <w:rPr>
          <w:rFonts w:hint="eastAsia" w:ascii="仿宋" w:hAnsi="仿宋" w:eastAsia="仿宋" w:cs="仿宋"/>
          <w:sz w:val="30"/>
          <w:szCs w:val="30"/>
          <w:highlight w:val="none"/>
        </w:rPr>
        <w:t>共有车辆</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辆，其中，领导干部用车0辆，机要通信应急用车0辆、一般执法执勤用车0辆、特种专业技术用车0辆、其他用车1辆。单位价值100万元以上设备0台（套）。</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四</w:t>
      </w:r>
      <w:r>
        <w:rPr>
          <w:rFonts w:hint="eastAsia" w:ascii="仿宋" w:hAnsi="仿宋" w:eastAsia="仿宋" w:cs="仿宋"/>
          <w:sz w:val="30"/>
          <w:szCs w:val="30"/>
          <w:highlight w:val="none"/>
        </w:rPr>
        <w:t>）绩效目标设置情况</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2026年海口市农村社会养老保险局14个项目实行绩效目标管理，涉及一般公共预算</w:t>
      </w:r>
      <w:r>
        <w:rPr>
          <w:rFonts w:hint="eastAsia" w:ascii="仿宋" w:hAnsi="仿宋" w:eastAsia="仿宋" w:cs="仿宋"/>
          <w:sz w:val="30"/>
          <w:szCs w:val="30"/>
          <w:highlight w:val="none"/>
          <w:lang w:eastAsia="zh-CN"/>
        </w:rPr>
        <w:t>39,674.71</w:t>
      </w:r>
      <w:r>
        <w:rPr>
          <w:rFonts w:hint="eastAsia" w:ascii="仿宋" w:hAnsi="仿宋" w:eastAsia="仿宋" w:cs="仿宋"/>
          <w:sz w:val="30"/>
          <w:szCs w:val="30"/>
          <w:highlight w:val="none"/>
          <w:lang w:val="en-US" w:eastAsia="zh-CN"/>
        </w:rPr>
        <w:t>万元。</w:t>
      </w:r>
    </w:p>
    <w:p>
      <w:pPr>
        <w:jc w:val="left"/>
        <w:rPr>
          <w:rFonts w:hint="eastAsia" w:ascii="仿宋" w:hAnsi="仿宋" w:eastAsia="仿宋" w:cs="仿宋"/>
          <w:color w:val="000000"/>
          <w:kern w:val="0"/>
          <w:sz w:val="30"/>
          <w:szCs w:val="30"/>
          <w:highlight w:val="none"/>
        </w:rPr>
      </w:pPr>
    </w:p>
    <w:p>
      <w:pPr>
        <w:jc w:val="center"/>
        <w:rPr>
          <w:rFonts w:hint="eastAsia" w:ascii="方正小标宋简体" w:hAnsi="方正小标宋简体" w:eastAsia="方正小标宋简体" w:cs="方正小标宋简体"/>
          <w:b w:val="0"/>
          <w:bCs/>
          <w:sz w:val="30"/>
          <w:szCs w:val="30"/>
          <w:highlight w:val="none"/>
        </w:rPr>
      </w:pPr>
      <w:r>
        <w:rPr>
          <w:rFonts w:hint="eastAsia" w:ascii="方正小标宋简体" w:hAnsi="方正小标宋简体" w:eastAsia="方正小标宋简体" w:cs="方正小标宋简体"/>
          <w:b w:val="0"/>
          <w:bCs/>
          <w:sz w:val="30"/>
          <w:szCs w:val="30"/>
          <w:highlight w:val="none"/>
        </w:rPr>
        <w:t>第四部分  名词解释</w:t>
      </w:r>
    </w:p>
    <w:p>
      <w:pPr>
        <w:ind w:firstLine="600" w:firstLineChars="200"/>
        <w:jc w:val="left"/>
        <w:rPr>
          <w:rFonts w:hint="eastAsia" w:ascii="仿宋" w:hAnsi="仿宋" w:eastAsia="仿宋" w:cs="仿宋"/>
          <w:bCs/>
          <w:color w:val="000000"/>
          <w:kern w:val="0"/>
          <w:sz w:val="30"/>
          <w:szCs w:val="30"/>
          <w:highlight w:val="none"/>
          <w:lang w:val="zh-CN"/>
        </w:rPr>
      </w:pP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一、财政拨款收入：指本级财政当年拨付的资金。</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二、事业收入：指事业单位开展专业业务活动及辅助活动取得的收入。</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三、经营收入：指事业单位在专业业务活动及其辅助活动之外开展非独立核算经营活动取得的收入。</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四、其他收入：指除上述“财政拨款收入”“事业收入”“经营收入”等以外的收入。</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五、年初结转和结余：指以前年度尚未完成、结转到本年按有关规定继续使用的资金。</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 xml:space="preserve">六、基本支出：指行政事业单位用于为保障其机构正常运转、完成日常工作任务而发生的人员支出和公用支出。   </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七、工资福利支出：反映单位开支的在职职工和编制外长期聘用人员的各类劳动报酬，以及为上述人员缴纳的各项社会保险费等。</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八、对个人和家庭的补助支出：反映政府用于对个人和家庭的补助支出，包括离休费、退休费、退职（役）费、抚恤金、生活补助、救济费、医疗费补助、助学金、独生子女奖励金、其他等。</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十、项目支出：指各部门、各单位为完成其特定的工作任务和事业发展目标所发生的支出。</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00" w:firstLineChars="200"/>
        <w:jc w:val="left"/>
        <w:rPr>
          <w:rFonts w:ascii="仿宋_GB2312" w:hAnsi="黑体" w:eastAsia="仿宋_GB2312" w:cs="仿宋_GB2312"/>
          <w:sz w:val="32"/>
          <w:szCs w:val="32"/>
          <w:highlight w:val="none"/>
        </w:rPr>
      </w:pPr>
      <w:r>
        <w:rPr>
          <w:rFonts w:hint="eastAsia" w:ascii="仿宋" w:hAnsi="仿宋" w:eastAsia="仿宋" w:cs="仿宋"/>
          <w:color w:val="000000"/>
          <w:kern w:val="0"/>
          <w:sz w:val="30"/>
          <w:szCs w:val="30"/>
          <w:highlight w:val="none"/>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E1101"/>
    <w:multiLevelType w:val="singleLevel"/>
    <w:tmpl w:val="96DE1101"/>
    <w:lvl w:ilvl="0" w:tentative="0">
      <w:start w:val="1"/>
      <w:numFmt w:val="chineseCounting"/>
      <w:suff w:val="nothing"/>
      <w:lvlText w:val="%1、"/>
      <w:lvlJc w:val="left"/>
      <w:rPr>
        <w:rFonts w:hint="eastAsia"/>
      </w:rPr>
    </w:lvl>
  </w:abstractNum>
  <w:abstractNum w:abstractNumId="1">
    <w:nsid w:val="9D6A3C23"/>
    <w:multiLevelType w:val="singleLevel"/>
    <w:tmpl w:val="9D6A3C23"/>
    <w:lvl w:ilvl="0" w:tentative="0">
      <w:start w:val="2"/>
      <w:numFmt w:val="chineseCounting"/>
      <w:suff w:val="space"/>
      <w:lvlText w:val="第%1部分"/>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0F3F9D"/>
    <w:multiLevelType w:val="singleLevel"/>
    <w:tmpl w:val="0D0F3F9D"/>
    <w:lvl w:ilvl="0" w:tentative="0">
      <w:start w:val="2"/>
      <w:numFmt w:val="chineseCounting"/>
      <w:suff w:val="nothing"/>
      <w:lvlText w:val="（%1）"/>
      <w:lvlJc w:val="left"/>
      <w:rPr>
        <w:rFonts w:hint="eastAsia"/>
      </w:r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1E35C2"/>
    <w:multiLevelType w:val="singleLevel"/>
    <w:tmpl w:val="671E35C2"/>
    <w:lvl w:ilvl="0" w:tentative="0">
      <w:start w:val="7"/>
      <w:numFmt w:val="chineseCounting"/>
      <w:suff w:val="nothing"/>
      <w:lvlText w:val="%1、"/>
      <w:lvlJc w:val="left"/>
      <w:rPr>
        <w:rFonts w:hint="eastAsia"/>
      </w:r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EA"/>
    <w:rsid w:val="000600B1"/>
    <w:rsid w:val="00346944"/>
    <w:rsid w:val="004E7DED"/>
    <w:rsid w:val="00551898"/>
    <w:rsid w:val="00607BAC"/>
    <w:rsid w:val="006B6DF8"/>
    <w:rsid w:val="00C07FF8"/>
    <w:rsid w:val="00CE5B8D"/>
    <w:rsid w:val="00F718EA"/>
    <w:rsid w:val="00FD69B6"/>
    <w:rsid w:val="02260BE7"/>
    <w:rsid w:val="02F73E74"/>
    <w:rsid w:val="03BC6936"/>
    <w:rsid w:val="03DD07E2"/>
    <w:rsid w:val="064B2548"/>
    <w:rsid w:val="07602DC7"/>
    <w:rsid w:val="076F3EBD"/>
    <w:rsid w:val="08491FAB"/>
    <w:rsid w:val="08923512"/>
    <w:rsid w:val="097F5CE9"/>
    <w:rsid w:val="09B44B4A"/>
    <w:rsid w:val="0A3F7BF9"/>
    <w:rsid w:val="0B517DAE"/>
    <w:rsid w:val="0BA22FCE"/>
    <w:rsid w:val="0E98535E"/>
    <w:rsid w:val="12381544"/>
    <w:rsid w:val="12627AF3"/>
    <w:rsid w:val="133D3AEB"/>
    <w:rsid w:val="14184697"/>
    <w:rsid w:val="1465445E"/>
    <w:rsid w:val="15034581"/>
    <w:rsid w:val="154544EA"/>
    <w:rsid w:val="16C374D6"/>
    <w:rsid w:val="173B54F1"/>
    <w:rsid w:val="188317A1"/>
    <w:rsid w:val="18D50057"/>
    <w:rsid w:val="18E16DBE"/>
    <w:rsid w:val="1AB203EF"/>
    <w:rsid w:val="1B1A64C8"/>
    <w:rsid w:val="1BF056BA"/>
    <w:rsid w:val="1C86319D"/>
    <w:rsid w:val="1D0F7294"/>
    <w:rsid w:val="1D9B2EA9"/>
    <w:rsid w:val="1DD075F4"/>
    <w:rsid w:val="21023D63"/>
    <w:rsid w:val="21426A63"/>
    <w:rsid w:val="217D2632"/>
    <w:rsid w:val="23301004"/>
    <w:rsid w:val="255B1539"/>
    <w:rsid w:val="259167AC"/>
    <w:rsid w:val="26094805"/>
    <w:rsid w:val="27086E15"/>
    <w:rsid w:val="276E65EA"/>
    <w:rsid w:val="279637DA"/>
    <w:rsid w:val="28B72577"/>
    <w:rsid w:val="2C231A88"/>
    <w:rsid w:val="2D2520CA"/>
    <w:rsid w:val="307B1AD3"/>
    <w:rsid w:val="33E91D61"/>
    <w:rsid w:val="34754EE2"/>
    <w:rsid w:val="35C34119"/>
    <w:rsid w:val="36154FF7"/>
    <w:rsid w:val="37F06C77"/>
    <w:rsid w:val="3A336385"/>
    <w:rsid w:val="3CDD348B"/>
    <w:rsid w:val="3D385050"/>
    <w:rsid w:val="3D7536FA"/>
    <w:rsid w:val="3FCF444B"/>
    <w:rsid w:val="45D01413"/>
    <w:rsid w:val="46A92079"/>
    <w:rsid w:val="4A542CC4"/>
    <w:rsid w:val="4AA40088"/>
    <w:rsid w:val="4ABB2594"/>
    <w:rsid w:val="4AE55F96"/>
    <w:rsid w:val="4B467647"/>
    <w:rsid w:val="4B7E22CE"/>
    <w:rsid w:val="4E0A39B0"/>
    <w:rsid w:val="4E505DE5"/>
    <w:rsid w:val="4ECC6AEA"/>
    <w:rsid w:val="4F091956"/>
    <w:rsid w:val="4F34625A"/>
    <w:rsid w:val="4F704D4E"/>
    <w:rsid w:val="4FC73207"/>
    <w:rsid w:val="505E2E70"/>
    <w:rsid w:val="511C5A13"/>
    <w:rsid w:val="526E446E"/>
    <w:rsid w:val="52B235E3"/>
    <w:rsid w:val="52D60619"/>
    <w:rsid w:val="536267E2"/>
    <w:rsid w:val="57FE6F10"/>
    <w:rsid w:val="581051D9"/>
    <w:rsid w:val="58337FDF"/>
    <w:rsid w:val="58A12EE3"/>
    <w:rsid w:val="59070377"/>
    <w:rsid w:val="592A7A11"/>
    <w:rsid w:val="5AD50860"/>
    <w:rsid w:val="5BA10843"/>
    <w:rsid w:val="5D373985"/>
    <w:rsid w:val="5D547C19"/>
    <w:rsid w:val="5D573E46"/>
    <w:rsid w:val="5F28059B"/>
    <w:rsid w:val="5F470090"/>
    <w:rsid w:val="5F965658"/>
    <w:rsid w:val="5F9E2748"/>
    <w:rsid w:val="609350E9"/>
    <w:rsid w:val="610D05CD"/>
    <w:rsid w:val="61586108"/>
    <w:rsid w:val="61A4774F"/>
    <w:rsid w:val="61DF2328"/>
    <w:rsid w:val="63985896"/>
    <w:rsid w:val="642176FA"/>
    <w:rsid w:val="64A770D9"/>
    <w:rsid w:val="66445A13"/>
    <w:rsid w:val="664507CB"/>
    <w:rsid w:val="671F4EC1"/>
    <w:rsid w:val="678E0E3F"/>
    <w:rsid w:val="696B607C"/>
    <w:rsid w:val="6C7A255C"/>
    <w:rsid w:val="6F0A4CCC"/>
    <w:rsid w:val="7054684B"/>
    <w:rsid w:val="70F839DA"/>
    <w:rsid w:val="73134596"/>
    <w:rsid w:val="7387402D"/>
    <w:rsid w:val="739F4F6B"/>
    <w:rsid w:val="73A512FF"/>
    <w:rsid w:val="747F6703"/>
    <w:rsid w:val="74F37BE3"/>
    <w:rsid w:val="752045B5"/>
    <w:rsid w:val="756E1EDB"/>
    <w:rsid w:val="75C128A6"/>
    <w:rsid w:val="772B57CE"/>
    <w:rsid w:val="772D10D7"/>
    <w:rsid w:val="78665B1A"/>
    <w:rsid w:val="78ED2599"/>
    <w:rsid w:val="7ACF26A9"/>
    <w:rsid w:val="7B8535CD"/>
    <w:rsid w:val="7BBA3520"/>
    <w:rsid w:val="7C206E61"/>
    <w:rsid w:val="7C325B62"/>
    <w:rsid w:val="7D625075"/>
    <w:rsid w:val="7DAF68EF"/>
    <w:rsid w:val="7E35278D"/>
    <w:rsid w:val="7E772834"/>
    <w:rsid w:val="7E9078FD"/>
    <w:rsid w:val="7EA91B4E"/>
    <w:rsid w:val="7EF46398"/>
    <w:rsid w:val="7F3E767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41"/>
    <w:basedOn w:val="6"/>
    <w:qFormat/>
    <w:uiPriority w:val="0"/>
    <w:rPr>
      <w:rFonts w:hint="eastAsia" w:ascii="宋体" w:hAnsi="宋体" w:eastAsia="宋体" w:cs="宋体"/>
      <w:color w:val="000000"/>
      <w:sz w:val="22"/>
      <w:szCs w:val="22"/>
      <w:u w:val="none"/>
    </w:rPr>
  </w:style>
  <w:style w:type="character" w:customStyle="1" w:styleId="13">
    <w:name w:val="font51"/>
    <w:basedOn w:val="6"/>
    <w:qFormat/>
    <w:uiPriority w:val="0"/>
    <w:rPr>
      <w:rFonts w:hint="eastAsia" w:ascii="宋体" w:hAnsi="宋体" w:eastAsia="宋体" w:cs="宋体"/>
      <w:color w:val="000000"/>
      <w:sz w:val="22"/>
      <w:szCs w:val="22"/>
      <w:u w:val="none"/>
    </w:rPr>
  </w:style>
  <w:style w:type="paragraph" w:customStyle="1" w:styleId="14">
    <w:name w:val="列表段落1"/>
    <w:basedOn w:val="1"/>
    <w:qFormat/>
    <w:uiPriority w:val="34"/>
    <w:pPr>
      <w:ind w:firstLine="420" w:firstLineChars="200"/>
    </w:pPr>
  </w:style>
  <w:style w:type="paragraph" w:customStyle="1" w:styleId="15">
    <w:name w:val="List Paragraph1"/>
    <w:basedOn w:val="1"/>
    <w:qFormat/>
    <w:uiPriority w:val="99"/>
    <w:pPr>
      <w:ind w:firstLine="420" w:firstLineChars="200"/>
    </w:pPr>
  </w:style>
  <w:style w:type="character" w:customStyle="1" w:styleId="16">
    <w:name w:val="font31"/>
    <w:basedOn w:val="6"/>
    <w:qFormat/>
    <w:uiPriority w:val="0"/>
    <w:rPr>
      <w:rFonts w:hint="eastAsia" w:ascii="宋体" w:hAnsi="宋体" w:eastAsia="宋体" w:cs="宋体"/>
      <w:color w:val="000000"/>
      <w:sz w:val="22"/>
      <w:szCs w:val="22"/>
      <w:u w:val="none"/>
    </w:rPr>
  </w:style>
  <w:style w:type="character" w:customStyle="1" w:styleId="17">
    <w:name w:val="font21"/>
    <w:basedOn w:val="6"/>
    <w:qFormat/>
    <w:uiPriority w:val="0"/>
    <w:rPr>
      <w:rFonts w:hint="eastAsia" w:ascii="宋体" w:hAnsi="宋体" w:eastAsia="宋体" w:cs="宋体"/>
      <w:color w:val="000000"/>
      <w:sz w:val="22"/>
      <w:szCs w:val="22"/>
      <w:u w:val="none"/>
    </w:rPr>
  </w:style>
  <w:style w:type="character" w:customStyle="1" w:styleId="18">
    <w:name w:val="font6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533</Words>
  <Characters>3042</Characters>
  <Lines>25</Lines>
  <Paragraphs>7</Paragraphs>
  <TotalTime>14</TotalTime>
  <ScaleCrop>false</ScaleCrop>
  <LinksUpToDate>false</LinksUpToDate>
  <CharactersWithSpaces>3568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2023-03-16T03:12:00Z</cp:lastPrinted>
  <dcterms:modified xsi:type="dcterms:W3CDTF">2026-02-27T10:45:32Z</dcterms:modified>
  <dc:title>××年××部门（单位）预算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