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p>
    <w:p>
      <w:pPr>
        <w:rPr>
          <w:sz w:val="84"/>
          <w:szCs w:val="84"/>
          <w:u w:val="single"/>
        </w:rPr>
      </w:pPr>
    </w:p>
    <w:p>
      <w:pPr>
        <w:rPr>
          <w:sz w:val="84"/>
          <w:szCs w:val="84"/>
          <w:u w:val="single"/>
        </w:rPr>
      </w:pPr>
    </w:p>
    <w:p>
      <w:pPr>
        <w:rPr>
          <w:sz w:val="84"/>
          <w:szCs w:val="84"/>
          <w:u w:val="single"/>
        </w:rPr>
      </w:pPr>
    </w:p>
    <w:p>
      <w:pPr>
        <w:spacing w:beforeLines="0" w:afterLines="0"/>
        <w:jc w:val="center"/>
        <w:rPr>
          <w:rFonts w:hint="default"/>
          <w:sz w:val="84"/>
          <w:szCs w:val="84"/>
        </w:rPr>
      </w:pPr>
      <w:r>
        <w:rPr>
          <w:rFonts w:hint="eastAsia"/>
          <w:sz w:val="84"/>
          <w:szCs w:val="84"/>
          <w:lang w:val="en-US" w:eastAsia="zh-CN"/>
        </w:rPr>
        <w:t>2024</w:t>
      </w:r>
      <w:r>
        <w:rPr>
          <w:rFonts w:hint="eastAsia"/>
          <w:sz w:val="84"/>
          <w:szCs w:val="84"/>
        </w:rPr>
        <w:t>年</w:t>
      </w:r>
      <w:r>
        <w:rPr>
          <w:rFonts w:hint="eastAsia"/>
          <w:sz w:val="84"/>
          <w:szCs w:val="84"/>
          <w:lang w:eastAsia="zh-CN"/>
        </w:rPr>
        <w:t>海口市人力资源和社会保障局本级</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pStyle w:val="5"/>
        <w:tabs>
          <w:tab w:val="right" w:leader="dot" w:pos="8306"/>
        </w:tabs>
        <w:jc w:val="center"/>
        <w:rPr>
          <w:rFonts w:ascii="黑体" w:hAnsi="黑体" w:eastAsia="黑体"/>
          <w:sz w:val="52"/>
          <w:szCs w:val="52"/>
        </w:rPr>
      </w:pPr>
      <w:r>
        <w:rPr>
          <w:rFonts w:hint="eastAsia" w:ascii="黑体" w:hAnsi="黑体" w:eastAsia="黑体"/>
          <w:sz w:val="52"/>
          <w:szCs w:val="52"/>
        </w:rPr>
        <w:t>目录</w:t>
      </w:r>
    </w:p>
    <w:p>
      <w:pPr>
        <w:pStyle w:val="5"/>
        <w:tabs>
          <w:tab w:val="right" w:leader="dot" w:pos="8306"/>
        </w:tabs>
        <w:rPr>
          <w:rFonts w:hint="eastAsia" w:ascii="黑体" w:hAnsi="黑体" w:eastAsia="黑体" w:cs="黑体"/>
          <w:kern w:val="0"/>
          <w:sz w:val="32"/>
          <w:szCs w:val="32"/>
        </w:rPr>
      </w:pPr>
      <w:r>
        <w:rPr>
          <w:rFonts w:ascii="黑体" w:hAnsi="黑体" w:eastAsia="黑体"/>
          <w:sz w:val="52"/>
          <w:szCs w:val="52"/>
        </w:rPr>
        <w:fldChar w:fldCharType="begin"/>
      </w:r>
      <w:r>
        <w:rPr>
          <w:rFonts w:ascii="黑体" w:hAnsi="黑体" w:eastAsia="黑体"/>
          <w:sz w:val="52"/>
          <w:szCs w:val="52"/>
        </w:rPr>
        <w:instrText xml:space="preserve">TOC \o "1-2" \h \u </w:instrText>
      </w:r>
      <w:r>
        <w:rPr>
          <w:rFonts w:ascii="黑体" w:hAnsi="黑体" w:eastAsia="黑体"/>
          <w:sz w:val="52"/>
          <w:szCs w:val="52"/>
        </w:rPr>
        <w:fldChar w:fldCharType="separate"/>
      </w: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"_Toc31375"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第一部分 海口市人力资源和社会保障局</w:t>
      </w:r>
      <w:r>
        <w:rPr>
          <w:rFonts w:hint="eastAsia" w:ascii="黑体" w:hAnsi="黑体" w:eastAsia="黑体" w:cs="黑体"/>
          <w:kern w:val="0"/>
          <w:sz w:val="32"/>
          <w:szCs w:val="32"/>
          <w:lang w:eastAsia="zh-CN"/>
        </w:rPr>
        <w:t>本级</w:t>
      </w:r>
      <w:r>
        <w:rPr>
          <w:rFonts w:hint="eastAsia" w:ascii="黑体" w:hAnsi="黑体" w:eastAsia="黑体" w:cs="黑体"/>
          <w:kern w:val="0"/>
          <w:sz w:val="32"/>
          <w:szCs w:val="32"/>
        </w:rPr>
        <w:t>概况</w:t>
      </w:r>
      <w:r>
        <w:rPr>
          <w:rFonts w:hint="eastAsia" w:ascii="黑体" w:hAnsi="黑体" w:eastAsia="黑体" w:cs="黑体"/>
          <w:kern w:val="0"/>
          <w:sz w:val="32"/>
          <w:szCs w:val="32"/>
        </w:rPr>
        <w:tab/>
      </w:r>
      <w:r>
        <w:rPr>
          <w:rFonts w:hint="eastAsia" w:ascii="黑体" w:hAnsi="黑体" w:eastAsia="黑体" w:cs="黑体"/>
          <w:kern w:val="0"/>
          <w:sz w:val="32"/>
          <w:szCs w:val="32"/>
        </w:rPr>
        <w:t>1</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"_Toc23877"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一、 主要职能</w:t>
      </w:r>
      <w:r>
        <w:rPr>
          <w:rFonts w:hint="eastAsia" w:ascii="黑体" w:hAnsi="黑体" w:eastAsia="黑体" w:cs="黑体"/>
          <w:kern w:val="0"/>
          <w:sz w:val="32"/>
          <w:szCs w:val="32"/>
        </w:rPr>
        <w:tab/>
      </w:r>
      <w:r>
        <w:rPr>
          <w:rFonts w:hint="eastAsia" w:ascii="黑体" w:hAnsi="黑体" w:eastAsia="黑体" w:cs="黑体"/>
          <w:kern w:val="0"/>
          <w:sz w:val="32"/>
          <w:szCs w:val="32"/>
        </w:rPr>
        <w:t>1</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"_Toc11696"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第二部分 海口市人力资源和社会保障局</w:t>
      </w:r>
      <w:r>
        <w:rPr>
          <w:rFonts w:hint="eastAsia" w:ascii="黑体" w:hAnsi="黑体" w:eastAsia="黑体" w:cs="黑体"/>
          <w:kern w:val="0"/>
          <w:sz w:val="32"/>
          <w:szCs w:val="32"/>
          <w:lang w:eastAsia="zh-CN"/>
        </w:rPr>
        <w:t>本级</w:t>
      </w: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年预算表</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"_Toc21782"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一、 财政拨款收支总表</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"_Toc14126"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二、 一般公共预算支出表</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"_Toc10940"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三、 一般公共预算基本支出表</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"_Toc23169"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四、 一般公共预算“三公”经费支出表</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"_Toc25617"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 xml:space="preserve">五、 政府性基金预算支出表 </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"_Toc25617"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 xml:space="preserve">六、 政府性基金预算“三公”经费支出表 </w:t>
      </w:r>
      <w:r>
        <w:rPr>
          <w:rFonts w:hint="eastAsia" w:ascii="黑体" w:hAnsi="黑体" w:eastAsia="黑体" w:cs="黑体"/>
          <w:kern w:val="0"/>
          <w:sz w:val="32"/>
          <w:szCs w:val="32"/>
        </w:rPr>
        <w:tab/>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fldChar w:fldCharType="end"/>
      </w:r>
    </w:p>
    <w:p>
      <w:pPr>
        <w:pStyle w:val="5"/>
        <w:tabs>
          <w:tab w:val="right" w:leader="dot" w:pos="8306"/>
        </w:tabs>
        <w:rPr>
          <w:rFonts w:hint="eastAsia" w:ascii="黑体" w:hAnsi="黑体" w:eastAsia="黑体" w:cs="黑体"/>
          <w:kern w:val="0"/>
          <w:sz w:val="32"/>
          <w:szCs w:val="32"/>
          <w:lang w:val="en-US" w:eastAsia="zh-CN"/>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"_Toc5172"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 xml:space="preserve">七、 </w:t>
      </w:r>
      <w:r>
        <w:rPr>
          <w:rFonts w:hint="eastAsia" w:ascii="黑体" w:hAnsi="黑体" w:eastAsia="黑体" w:cs="黑体"/>
          <w:kern w:val="0"/>
          <w:sz w:val="32"/>
          <w:szCs w:val="32"/>
          <w:lang w:eastAsia="zh-CN"/>
        </w:rPr>
        <w:t>单位</w:t>
      </w:r>
      <w:r>
        <w:rPr>
          <w:rFonts w:hint="eastAsia" w:ascii="黑体" w:hAnsi="黑体" w:eastAsia="黑体" w:cs="黑体"/>
          <w:kern w:val="0"/>
          <w:sz w:val="32"/>
          <w:szCs w:val="32"/>
        </w:rPr>
        <w:t>收支总表</w:t>
      </w:r>
      <w:r>
        <w:rPr>
          <w:rFonts w:hint="eastAsia" w:ascii="黑体" w:hAnsi="黑体" w:eastAsia="黑体" w:cs="黑体"/>
          <w:kern w:val="0"/>
          <w:sz w:val="32"/>
          <w:szCs w:val="32"/>
        </w:rPr>
        <w:tab/>
      </w:r>
      <w:r>
        <w:rPr>
          <w:rFonts w:hint="eastAsia" w:ascii="黑体" w:hAnsi="黑体" w:eastAsia="黑体" w:cs="黑体"/>
          <w:kern w:val="0"/>
          <w:sz w:val="32"/>
          <w:szCs w:val="32"/>
        </w:rPr>
        <w:fldChar w:fldCharType="end"/>
      </w:r>
      <w:r>
        <w:rPr>
          <w:rFonts w:hint="eastAsia" w:ascii="黑体" w:hAnsi="黑体" w:eastAsia="黑体" w:cs="黑体"/>
          <w:kern w:val="0"/>
          <w:sz w:val="32"/>
          <w:szCs w:val="32"/>
          <w:lang w:val="en-US" w:eastAsia="zh-CN"/>
        </w:rPr>
        <w:t>7</w:t>
      </w:r>
    </w:p>
    <w:p>
      <w:pPr>
        <w:pStyle w:val="5"/>
        <w:tabs>
          <w:tab w:val="right" w:leader="dot" w:pos="8306"/>
        </w:tabs>
        <w:rPr>
          <w:rFonts w:hint="eastAsia" w:ascii="黑体" w:hAnsi="黑体" w:eastAsia="黑体" w:cs="黑体"/>
          <w:kern w:val="0"/>
          <w:sz w:val="32"/>
          <w:szCs w:val="32"/>
          <w:lang w:val="en-US" w:eastAsia="zh-CN"/>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"_Toc5891"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 xml:space="preserve">八、 </w:t>
      </w:r>
      <w:r>
        <w:rPr>
          <w:rFonts w:hint="eastAsia" w:ascii="黑体" w:hAnsi="黑体" w:eastAsia="黑体" w:cs="黑体"/>
          <w:kern w:val="0"/>
          <w:sz w:val="32"/>
          <w:szCs w:val="32"/>
          <w:lang w:eastAsia="zh-CN"/>
        </w:rPr>
        <w:t>单位</w:t>
      </w:r>
      <w:r>
        <w:rPr>
          <w:rFonts w:hint="eastAsia" w:ascii="黑体" w:hAnsi="黑体" w:eastAsia="黑体" w:cs="黑体"/>
          <w:kern w:val="0"/>
          <w:sz w:val="32"/>
          <w:szCs w:val="32"/>
        </w:rPr>
        <w:t>收入总表</w:t>
      </w:r>
      <w:r>
        <w:rPr>
          <w:rFonts w:hint="eastAsia" w:ascii="黑体" w:hAnsi="黑体" w:eastAsia="黑体" w:cs="黑体"/>
          <w:kern w:val="0"/>
          <w:sz w:val="32"/>
          <w:szCs w:val="32"/>
        </w:rPr>
        <w:tab/>
      </w:r>
      <w:r>
        <w:rPr>
          <w:rFonts w:hint="eastAsia" w:ascii="黑体" w:hAnsi="黑体" w:eastAsia="黑体" w:cs="黑体"/>
          <w:kern w:val="0"/>
          <w:sz w:val="32"/>
          <w:szCs w:val="32"/>
        </w:rPr>
        <w:fldChar w:fldCharType="end"/>
      </w:r>
      <w:r>
        <w:rPr>
          <w:rFonts w:hint="eastAsia" w:ascii="黑体" w:hAnsi="黑体" w:eastAsia="黑体" w:cs="黑体"/>
          <w:kern w:val="0"/>
          <w:sz w:val="32"/>
          <w:szCs w:val="32"/>
          <w:lang w:val="en-US" w:eastAsia="zh-CN"/>
        </w:rPr>
        <w:t>7</w:t>
      </w:r>
    </w:p>
    <w:p>
      <w:pPr>
        <w:pStyle w:val="5"/>
        <w:tabs>
          <w:tab w:val="right" w:leader="dot" w:pos="8306"/>
        </w:tabs>
        <w:rPr>
          <w:rFonts w:hint="eastAsia" w:ascii="黑体" w:hAnsi="黑体" w:eastAsia="黑体" w:cs="黑体"/>
          <w:kern w:val="0"/>
          <w:sz w:val="32"/>
          <w:szCs w:val="32"/>
          <w:lang w:val="en-US" w:eastAsia="zh-CN"/>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"_Toc10207"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 xml:space="preserve">九、 </w:t>
      </w:r>
      <w:r>
        <w:rPr>
          <w:rFonts w:hint="eastAsia" w:ascii="黑体" w:hAnsi="黑体" w:eastAsia="黑体" w:cs="黑体"/>
          <w:kern w:val="0"/>
          <w:sz w:val="32"/>
          <w:szCs w:val="32"/>
          <w:lang w:eastAsia="zh-CN"/>
        </w:rPr>
        <w:t>单位</w:t>
      </w:r>
      <w:r>
        <w:rPr>
          <w:rFonts w:hint="eastAsia" w:ascii="黑体" w:hAnsi="黑体" w:eastAsia="黑体" w:cs="黑体"/>
          <w:kern w:val="0"/>
          <w:sz w:val="32"/>
          <w:szCs w:val="32"/>
        </w:rPr>
        <w:t>支出总表</w:t>
      </w:r>
      <w:r>
        <w:rPr>
          <w:rFonts w:hint="eastAsia" w:ascii="黑体" w:hAnsi="黑体" w:eastAsia="黑体" w:cs="黑体"/>
          <w:kern w:val="0"/>
          <w:sz w:val="32"/>
          <w:szCs w:val="32"/>
        </w:rPr>
        <w:tab/>
      </w:r>
      <w:r>
        <w:rPr>
          <w:rFonts w:hint="eastAsia" w:ascii="黑体" w:hAnsi="黑体" w:eastAsia="黑体" w:cs="黑体"/>
          <w:kern w:val="0"/>
          <w:sz w:val="32"/>
          <w:szCs w:val="32"/>
        </w:rPr>
        <w:fldChar w:fldCharType="end"/>
      </w:r>
      <w:r>
        <w:rPr>
          <w:rFonts w:hint="eastAsia" w:ascii="黑体" w:hAnsi="黑体" w:eastAsia="黑体" w:cs="黑体"/>
          <w:kern w:val="0"/>
          <w:sz w:val="32"/>
          <w:szCs w:val="32"/>
          <w:lang w:val="en-US" w:eastAsia="zh-CN"/>
        </w:rPr>
        <w:t>8</w:t>
      </w:r>
    </w:p>
    <w:p>
      <w:pPr>
        <w:pStyle w:val="5"/>
        <w:tabs>
          <w:tab w:val="right" w:leader="dot" w:pos="8306"/>
        </w:tabs>
        <w:rPr>
          <w:rFonts w:hint="eastAsia" w:ascii="黑体" w:hAnsi="黑体" w:eastAsia="黑体" w:cs="黑体"/>
          <w:kern w:val="0"/>
          <w:sz w:val="32"/>
          <w:szCs w:val="32"/>
          <w:lang w:val="en-US" w:eastAsia="zh-CN"/>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"_Toc28835"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十、 项目支出绩效信息表</w:t>
      </w:r>
      <w:r>
        <w:rPr>
          <w:rFonts w:hint="eastAsia" w:ascii="黑体" w:hAnsi="黑体" w:eastAsia="黑体" w:cs="黑体"/>
          <w:kern w:val="0"/>
          <w:sz w:val="32"/>
          <w:szCs w:val="32"/>
        </w:rPr>
        <w:tab/>
      </w:r>
      <w:r>
        <w:rPr>
          <w:rFonts w:hint="eastAsia" w:ascii="黑体" w:hAnsi="黑体" w:eastAsia="黑体" w:cs="黑体"/>
          <w:kern w:val="0"/>
          <w:sz w:val="32"/>
          <w:szCs w:val="32"/>
        </w:rPr>
        <w:fldChar w:fldCharType="end"/>
      </w:r>
      <w:r>
        <w:rPr>
          <w:rFonts w:hint="eastAsia" w:ascii="黑体" w:hAnsi="黑体" w:eastAsia="黑体" w:cs="黑体"/>
          <w:kern w:val="0"/>
          <w:sz w:val="32"/>
          <w:szCs w:val="32"/>
          <w:lang w:val="en-US" w:eastAsia="zh-CN"/>
        </w:rPr>
        <w:t>9</w:t>
      </w:r>
    </w:p>
    <w:p>
      <w:pPr>
        <w:pStyle w:val="5"/>
        <w:tabs>
          <w:tab w:val="right" w:leader="dot" w:pos="8306"/>
        </w:tabs>
        <w:rPr>
          <w:rFonts w:hint="eastAsia" w:ascii="黑体" w:hAnsi="黑体" w:eastAsia="黑体" w:cs="黑体"/>
          <w:sz w:val="32"/>
          <w:szCs w:val="32"/>
          <w:lang w:val="en-US" w:eastAsia="zh-CN"/>
        </w:rPr>
      </w:pPr>
      <w:r>
        <w:rPr>
          <w:rFonts w:hint="eastAsia" w:ascii="黑体" w:hAnsi="黑体" w:eastAsia="黑体" w:cs="黑体"/>
          <w:kern w:val="0"/>
          <w:sz w:val="32"/>
          <w:szCs w:val="32"/>
        </w:rPr>
        <w:fldChar w:fldCharType="begin"/>
      </w:r>
      <w:r>
        <w:rPr>
          <w:rFonts w:hint="eastAsia" w:ascii="黑体" w:hAnsi="黑体" w:eastAsia="黑体" w:cs="黑体"/>
          <w:kern w:val="0"/>
          <w:sz w:val="32"/>
          <w:szCs w:val="32"/>
        </w:rPr>
        <w:instrText xml:space="preserve"> HYPERLINK \l "_Toc19427" </w:instrText>
      </w:r>
      <w:r>
        <w:rPr>
          <w:rFonts w:hint="eastAsia" w:ascii="黑体" w:hAnsi="黑体" w:eastAsia="黑体" w:cs="黑体"/>
          <w:kern w:val="0"/>
          <w:sz w:val="32"/>
          <w:szCs w:val="32"/>
        </w:rPr>
        <w:fldChar w:fldCharType="separate"/>
      </w:r>
      <w:r>
        <w:rPr>
          <w:rFonts w:hint="eastAsia" w:ascii="黑体" w:hAnsi="黑体" w:eastAsia="黑体" w:cs="黑体"/>
          <w:kern w:val="0"/>
          <w:sz w:val="32"/>
          <w:szCs w:val="32"/>
        </w:rPr>
        <w:t>第三部分 海口市人力资源和社会保障局</w:t>
      </w:r>
      <w:r>
        <w:rPr>
          <w:rFonts w:hint="eastAsia" w:ascii="黑体" w:hAnsi="黑体" w:eastAsia="黑体" w:cs="黑体"/>
          <w:kern w:val="0"/>
          <w:sz w:val="32"/>
          <w:szCs w:val="32"/>
          <w:lang w:eastAsia="zh-CN"/>
        </w:rPr>
        <w:t>本级</w:t>
      </w: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年预算情况说明</w:t>
      </w:r>
      <w:r>
        <w:rPr>
          <w:rFonts w:hint="eastAsia" w:ascii="黑体" w:hAnsi="黑体" w:eastAsia="黑体" w:cs="黑体"/>
          <w:kern w:val="0"/>
          <w:sz w:val="32"/>
          <w:szCs w:val="32"/>
        </w:rPr>
        <w:tab/>
      </w:r>
      <w:r>
        <w:rPr>
          <w:rFonts w:hint="eastAsia" w:ascii="黑体" w:hAnsi="黑体" w:eastAsia="黑体" w:cs="黑体"/>
          <w:kern w:val="0"/>
          <w:sz w:val="32"/>
          <w:szCs w:val="32"/>
        </w:rPr>
        <w:fldChar w:fldCharType="end"/>
      </w:r>
      <w:r>
        <w:rPr>
          <w:rFonts w:hint="eastAsia" w:ascii="黑体" w:hAnsi="黑体" w:eastAsia="黑体" w:cs="黑体"/>
          <w:sz w:val="32"/>
          <w:szCs w:val="32"/>
          <w:lang w:val="en-US" w:eastAsia="zh-CN"/>
        </w:rPr>
        <w:t>9</w:t>
      </w:r>
    </w:p>
    <w:p>
      <w:pPr>
        <w:pStyle w:val="5"/>
        <w:tabs>
          <w:tab w:val="right" w:leader="dot" w:pos="8306"/>
        </w:tabs>
        <w:rPr>
          <w:rFonts w:hint="default" w:eastAsia="黑体"/>
          <w:lang w:val="en-US" w:eastAsia="zh-CN"/>
        </w:rPr>
      </w:pPr>
      <w:r>
        <w:fldChar w:fldCharType="begin"/>
      </w:r>
      <w:r>
        <w:instrText xml:space="preserve"> HYPERLINK \l "_Toc3075" </w:instrText>
      </w:r>
      <w:r>
        <w:fldChar w:fldCharType="separate"/>
      </w:r>
      <w:r>
        <w:rPr>
          <w:rFonts w:hint="eastAsia" w:ascii="黑体" w:hAnsi="黑体" w:eastAsia="黑体" w:cs="黑体"/>
          <w:kern w:val="0"/>
          <w:sz w:val="32"/>
          <w:szCs w:val="32"/>
        </w:rPr>
        <w:t>第四部分</w:t>
      </w:r>
      <w:r>
        <w:rPr>
          <w:rFonts w:ascii="黑体" w:hAnsi="黑体" w:eastAsia="黑体" w:cs="黑体"/>
          <w:kern w:val="0"/>
          <w:sz w:val="32"/>
          <w:szCs w:val="32"/>
        </w:rPr>
        <w:t xml:space="preserve"> </w:t>
      </w:r>
      <w:r>
        <w:rPr>
          <w:rFonts w:hint="eastAsia" w:ascii="黑体" w:hAnsi="黑体" w:eastAsia="黑体" w:cs="黑体"/>
          <w:sz w:val="32"/>
          <w:szCs w:val="32"/>
        </w:rPr>
        <w:t>名词解释</w:t>
      </w:r>
      <w:r>
        <w:rPr>
          <w:rFonts w:ascii="黑体" w:hAnsi="黑体" w:eastAsia="黑体" w:cs="黑体"/>
          <w:sz w:val="32"/>
          <w:szCs w:val="32"/>
        </w:rPr>
        <w:tab/>
      </w:r>
      <w:r>
        <w:rPr>
          <w:rFonts w:ascii="黑体" w:hAnsi="黑体" w:eastAsia="黑体" w:cs="黑体"/>
          <w:sz w:val="32"/>
          <w:szCs w:val="32"/>
        </w:rPr>
        <w:fldChar w:fldCharType="end"/>
      </w:r>
      <w:r>
        <w:rPr>
          <w:rFonts w:hint="eastAsia" w:ascii="黑体" w:hAnsi="黑体" w:eastAsia="黑体" w:cs="黑体"/>
          <w:sz w:val="32"/>
          <w:szCs w:val="32"/>
          <w:lang w:val="en-US" w:eastAsia="zh-CN"/>
        </w:rPr>
        <w:t>15</w:t>
      </w:r>
    </w:p>
    <w:p>
      <w:pPr>
        <w:jc w:val="center"/>
        <w:rPr>
          <w:rFonts w:ascii="黑体" w:hAnsi="黑体" w:eastAsia="黑体"/>
          <w:sz w:val="52"/>
          <w:szCs w:val="52"/>
        </w:rPr>
      </w:pPr>
      <w:r>
        <w:rPr>
          <w:rFonts w:ascii="黑体" w:hAnsi="黑体" w:eastAsia="黑体"/>
          <w:sz w:val="52"/>
          <w:szCs w:val="52"/>
        </w:rPr>
        <w:fldChar w:fldCharType="end"/>
      </w:r>
    </w:p>
    <w:p>
      <w:pPr>
        <w:pStyle w:val="11"/>
        <w:ind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p>
    <w:p>
      <w:pPr>
        <w:pStyle w:val="11"/>
        <w:numPr>
          <w:ilvl w:val="0"/>
          <w:numId w:val="1"/>
        </w:numPr>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黑体"/>
          <w:sz w:val="32"/>
          <w:szCs w:val="32"/>
        </w:rPr>
        <w:t>海口市人力资源和社会保障局</w:t>
      </w:r>
      <w:r>
        <w:rPr>
          <w:rFonts w:hint="eastAsia" w:ascii="黑体" w:hAnsi="黑体" w:eastAsia="黑体"/>
          <w:sz w:val="32"/>
          <w:szCs w:val="32"/>
        </w:rPr>
        <w:t>概况</w:t>
      </w:r>
    </w:p>
    <w:p>
      <w:pPr>
        <w:pStyle w:val="11"/>
        <w:ind w:firstLine="640"/>
        <w:jc w:val="left"/>
        <w:rPr>
          <w:rFonts w:ascii="黑体" w:hAnsi="黑体" w:eastAsia="黑体" w:cs="仿宋_GB2312"/>
          <w:sz w:val="32"/>
          <w:szCs w:val="32"/>
        </w:rPr>
      </w:pPr>
    </w:p>
    <w:p>
      <w:pPr>
        <w:pStyle w:val="11"/>
        <w:ind w:firstLine="640"/>
        <w:jc w:val="left"/>
        <w:rPr>
          <w:rFonts w:ascii="黑体" w:hAnsi="黑体" w:eastAsia="黑体" w:cs="仿宋_GB2312"/>
          <w:sz w:val="32"/>
          <w:szCs w:val="32"/>
        </w:rPr>
      </w:pPr>
      <w:r>
        <w:rPr>
          <w:rFonts w:hint="eastAsia" w:ascii="黑体" w:hAnsi="黑体" w:eastAsia="黑体" w:cs="仿宋_GB2312"/>
          <w:sz w:val="32"/>
          <w:szCs w:val="32"/>
        </w:rPr>
        <w:t>一、主要职能</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（一）负责拟订并组织实施本市有关人力资源和社会保障工作的政策法规和发展规划，研究提出本市推进中国（海南）自由贸易试验区、中国特色自由贸易港建设有关人力资源和社会保障方面的意见和建议。</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（二）负责本市人力资源市场的统筹规划和综合管理工作。建立统一开放、竞争有序的人力资源市场体系，健全人力资源开发机制和人力资源流动配置机制，负责人力资源服务标准化建设和人力资源市场监管。</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负责本市促进就业创业工作。拟订并组织实施统筹城乡的创业就业发展规划和政策，完善公共就业创业服务体系，健全就业创业援助制度；负责落实面向城乡劳动者的终身职业技能培训制度；贯彻落实技能人才培养、评价、使用和激励政策；组织实施高校毕业生就业政策。</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负责统筹推进建立覆盖本市城乡的多层次社会保障体系。统筹社会保障卡工作，会同有关部门推动建立以社会保障卡为载体的“一卡通”服务管理模式；执行养老、失业、工伤等社会保险及其补充保险政策、标准和养老、失业、工伤保险关系转续办法；执行养老、失业、工伤等社会保险及其补充保险基金管理和监督制度，编制相关社会保险基金预决算草案；会同有关部门实施全民参保计划，推进全国统一的社会保险公共服务平台建设管理。</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（五）负责本市就业、失业和相关社会保险基金的预测预警和信息引导，拟定应对预案，实施预防、调节和控制，保持就业形势稳定和相关社会保险基金总体收支平衡。</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负责组织实施劳动人事争议调解仲裁制度和劳动关系政策，完善劳动关系协商协调机制，执行职工工作时间、休息休假和假期制度，落实消除非法使用童工政策和女工、未成年工特殊劳动保护政策。组织实施本市劳动保障监察，协调劳动者维权工作，依法查处重大案件。</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（七）负责组织实施技能人才培养、评价、使用和激励制度，组织实施职业资格制度和职业技能多元化评价政策。</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（八）会同有关部门推进事业单位人事制度改革，按照管理权限负责规范事业单位岗位设置、公开招聘、聘用合同等人事综合管理工作，组织实施事业单位工作人员和机关工勤人员管理政策。</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（九）会同有关部门实施国家表彰奖励制度，承担本市表彰奖励和评比达标表彰的申报工作。</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（十）会同有关部门落实事业单位人员工资收入分配政策，建立企事业单位人员工资决定、正常增长和支付保障机制，执行企事业单位人员福利和离退休政策；</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负责市属国有企业薪酬监测并开展监督检查。</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（十一）会同有关部门实施农民工工作的综合性政策和规划，协调解决重点难点问题，维护农民工合法权益。</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（十二）负责本系统人员的教育培训工作，指导本系统队伍建设。</w:t>
      </w:r>
    </w:p>
    <w:p>
      <w:pPr>
        <w:pStyle w:val="11"/>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（十三）指导各区人力资源和社会保障工作。</w:t>
      </w:r>
    </w:p>
    <w:p>
      <w:pPr>
        <w:ind w:right="-153" w:rightChars="-73"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2"/>
        </w:rPr>
        <w:t>（十四）完成市委、市政府和上级部门交办的其他任务。</w:t>
      </w:r>
    </w:p>
    <w:p>
      <w:pPr>
        <w:ind w:right="-153" w:rightChars="-73" w:firstLine="640" w:firstLineChars="200"/>
        <w:jc w:val="left"/>
        <w:rPr>
          <w:rFonts w:ascii="仿宋_GB2312" w:hAnsi="宋体" w:eastAsia="仿宋_GB2312" w:cs="宋体"/>
          <w:color w:val="000000"/>
          <w:kern w:val="0"/>
          <w:sz w:val="32"/>
          <w:szCs w:val="30"/>
        </w:rPr>
      </w:pPr>
    </w:p>
    <w:p>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cs="黑体"/>
          <w:sz w:val="32"/>
          <w:szCs w:val="32"/>
        </w:rPr>
        <w:t>海口市人力资源和社会保障局</w:t>
      </w:r>
      <w:r>
        <w:rPr>
          <w:rFonts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sz w:val="32"/>
        </w:rPr>
        <w:t>年部门预算</w:t>
      </w:r>
      <w:r>
        <w:rPr>
          <w:rFonts w:hint="eastAsia" w:ascii="黑体" w:hAnsi="黑体" w:eastAsia="黑体"/>
          <w:sz w:val="32"/>
          <w:szCs w:val="32"/>
        </w:rPr>
        <w:t>表</w:t>
      </w:r>
    </w:p>
    <w:p>
      <w:pPr>
        <w:rPr>
          <w:rFonts w:hint="eastAsia" w:ascii="黑体" w:hAnsi="黑体" w:eastAsia="黑体"/>
          <w:sz w:val="32"/>
          <w:szCs w:val="32"/>
          <w:lang w:eastAsia="zh-CN"/>
        </w:rPr>
      </w:pPr>
      <w:r>
        <w:rPr>
          <w:rFonts w:hint="eastAsia" w:ascii="黑体" w:hAnsi="黑体" w:eastAsia="黑体"/>
          <w:sz w:val="32"/>
          <w:szCs w:val="32"/>
          <w:lang w:eastAsia="zh-CN"/>
        </w:rPr>
        <w:drawing>
          <wp:inline distT="0" distB="0" distL="114300" distR="114300">
            <wp:extent cx="4867275" cy="5076825"/>
            <wp:effectExtent l="0" t="0" r="9525" b="9525"/>
            <wp:docPr id="10" name="图片 10" descr="捕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捕获1"/>
                    <pic:cNvPicPr>
                      <a:picLocks noChangeAspect="1"/>
                    </pic:cNvPicPr>
                  </pic:nvPicPr>
                  <pic:blipFill>
                    <a:blip r:embed="rId4"/>
                    <a:stretch>
                      <a:fillRect/>
                    </a:stretch>
                  </pic:blipFill>
                  <pic:spPr>
                    <a:xfrm>
                      <a:off x="0" y="0"/>
                      <a:ext cx="4867275" cy="5076825"/>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4305300" cy="3543300"/>
            <wp:effectExtent l="0" t="0" r="0" b="0"/>
            <wp:docPr id="11" name="图片 11"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捕获2"/>
                    <pic:cNvPicPr>
                      <a:picLocks noChangeAspect="1"/>
                    </pic:cNvPicPr>
                  </pic:nvPicPr>
                  <pic:blipFill>
                    <a:blip r:embed="rId5"/>
                    <a:stretch>
                      <a:fillRect/>
                    </a:stretch>
                  </pic:blipFill>
                  <pic:spPr>
                    <a:xfrm>
                      <a:off x="0" y="0"/>
                      <a:ext cx="4305300" cy="3543300"/>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4314825" cy="5686425"/>
            <wp:effectExtent l="0" t="0" r="9525" b="9525"/>
            <wp:docPr id="12" name="图片 12" descr="捕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捕获3"/>
                    <pic:cNvPicPr>
                      <a:picLocks noChangeAspect="1"/>
                    </pic:cNvPicPr>
                  </pic:nvPicPr>
                  <pic:blipFill>
                    <a:blip r:embed="rId6"/>
                    <a:stretch>
                      <a:fillRect/>
                    </a:stretch>
                  </pic:blipFill>
                  <pic:spPr>
                    <a:xfrm>
                      <a:off x="0" y="0"/>
                      <a:ext cx="4314825" cy="5686425"/>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5269230" cy="1002030"/>
            <wp:effectExtent l="0" t="0" r="7620" b="7620"/>
            <wp:docPr id="13" name="图片 13" descr="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捕获4"/>
                    <pic:cNvPicPr>
                      <a:picLocks noChangeAspect="1"/>
                    </pic:cNvPicPr>
                  </pic:nvPicPr>
                  <pic:blipFill>
                    <a:blip r:embed="rId7"/>
                    <a:stretch>
                      <a:fillRect/>
                    </a:stretch>
                  </pic:blipFill>
                  <pic:spPr>
                    <a:xfrm>
                      <a:off x="0" y="0"/>
                      <a:ext cx="5269230" cy="1002030"/>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5272405" cy="1482725"/>
            <wp:effectExtent l="0" t="0" r="4445" b="3175"/>
            <wp:docPr id="14" name="图片 14" descr="捕获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捕获5"/>
                    <pic:cNvPicPr>
                      <a:picLocks noChangeAspect="1"/>
                    </pic:cNvPicPr>
                  </pic:nvPicPr>
                  <pic:blipFill>
                    <a:blip r:embed="rId8"/>
                    <a:stretch>
                      <a:fillRect/>
                    </a:stretch>
                  </pic:blipFill>
                  <pic:spPr>
                    <a:xfrm>
                      <a:off x="0" y="0"/>
                      <a:ext cx="5272405" cy="1482725"/>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5271770" cy="999490"/>
            <wp:effectExtent l="0" t="0" r="5080" b="10160"/>
            <wp:docPr id="15" name="图片 15" descr="捕获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捕获6"/>
                    <pic:cNvPicPr>
                      <a:picLocks noChangeAspect="1"/>
                    </pic:cNvPicPr>
                  </pic:nvPicPr>
                  <pic:blipFill>
                    <a:blip r:embed="rId9"/>
                    <a:stretch>
                      <a:fillRect/>
                    </a:stretch>
                  </pic:blipFill>
                  <pic:spPr>
                    <a:xfrm>
                      <a:off x="0" y="0"/>
                      <a:ext cx="5271770" cy="999490"/>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4352925" cy="5600700"/>
            <wp:effectExtent l="0" t="0" r="9525" b="0"/>
            <wp:docPr id="16" name="图片 16" descr="捕获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捕获7"/>
                    <pic:cNvPicPr>
                      <a:picLocks noChangeAspect="1"/>
                    </pic:cNvPicPr>
                  </pic:nvPicPr>
                  <pic:blipFill>
                    <a:blip r:embed="rId10"/>
                    <a:stretch>
                      <a:fillRect/>
                    </a:stretch>
                  </pic:blipFill>
                  <pic:spPr>
                    <a:xfrm>
                      <a:off x="0" y="0"/>
                      <a:ext cx="4352925" cy="5600700"/>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5274310" cy="847090"/>
            <wp:effectExtent l="0" t="0" r="2540" b="10160"/>
            <wp:docPr id="17" name="图片 17" descr="捕获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捕获8"/>
                    <pic:cNvPicPr>
                      <a:picLocks noChangeAspect="1"/>
                    </pic:cNvPicPr>
                  </pic:nvPicPr>
                  <pic:blipFill>
                    <a:blip r:embed="rId11"/>
                    <a:stretch>
                      <a:fillRect/>
                    </a:stretch>
                  </pic:blipFill>
                  <pic:spPr>
                    <a:xfrm>
                      <a:off x="0" y="0"/>
                      <a:ext cx="5274310" cy="847090"/>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4819650" cy="3409950"/>
            <wp:effectExtent l="0" t="0" r="0" b="0"/>
            <wp:docPr id="18" name="图片 18" descr="捕获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捕获9"/>
                    <pic:cNvPicPr>
                      <a:picLocks noChangeAspect="1"/>
                    </pic:cNvPicPr>
                  </pic:nvPicPr>
                  <pic:blipFill>
                    <a:blip r:embed="rId12"/>
                    <a:stretch>
                      <a:fillRect/>
                    </a:stretch>
                  </pic:blipFill>
                  <pic:spPr>
                    <a:xfrm>
                      <a:off x="0" y="0"/>
                      <a:ext cx="4819650" cy="3409950"/>
                    </a:xfrm>
                    <a:prstGeom prst="rect">
                      <a:avLst/>
                    </a:prstGeom>
                  </pic:spPr>
                </pic:pic>
              </a:graphicData>
            </a:graphic>
          </wp:inline>
        </w:drawing>
      </w:r>
      <w:r>
        <w:rPr>
          <w:rFonts w:hint="eastAsia" w:ascii="黑体" w:hAnsi="黑体" w:eastAsia="黑体"/>
          <w:sz w:val="32"/>
          <w:szCs w:val="32"/>
          <w:lang w:eastAsia="zh-CN"/>
        </w:rPr>
        <w:drawing>
          <wp:inline distT="0" distB="0" distL="114300" distR="114300">
            <wp:extent cx="5266690" cy="3748405"/>
            <wp:effectExtent l="0" t="0" r="10160" b="4445"/>
            <wp:docPr id="19" name="图片 19" descr="捕获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捕获10"/>
                    <pic:cNvPicPr>
                      <a:picLocks noChangeAspect="1"/>
                    </pic:cNvPicPr>
                  </pic:nvPicPr>
                  <pic:blipFill>
                    <a:blip r:embed="rId13"/>
                    <a:stretch>
                      <a:fillRect/>
                    </a:stretch>
                  </pic:blipFill>
                  <pic:spPr>
                    <a:xfrm>
                      <a:off x="0" y="0"/>
                      <a:ext cx="5266690" cy="3748405"/>
                    </a:xfrm>
                    <a:prstGeom prst="rect">
                      <a:avLst/>
                    </a:prstGeom>
                  </pic:spPr>
                </pic:pic>
              </a:graphicData>
            </a:graphic>
          </wp:inline>
        </w:drawing>
      </w:r>
    </w:p>
    <w:p>
      <w:pPr>
        <w:rPr>
          <w:rFonts w:hint="eastAsia" w:ascii="黑体" w:hAnsi="黑体" w:eastAsia="黑体"/>
          <w:sz w:val="32"/>
          <w:szCs w:val="32"/>
          <w:lang w:eastAsia="zh-CN"/>
        </w:rPr>
      </w:pPr>
    </w:p>
    <w:p>
      <w:pPr>
        <w:rPr>
          <w:rFonts w:hint="eastAsia" w:ascii="黑体" w:hAnsi="黑体" w:eastAsia="黑体"/>
          <w:sz w:val="32"/>
          <w:szCs w:val="32"/>
          <w:lang w:eastAsia="zh-CN"/>
        </w:rPr>
      </w:pPr>
    </w:p>
    <w:p>
      <w:pPr>
        <w:rPr>
          <w:rFonts w:ascii="黑体" w:hAnsi="黑体" w:eastAsia="黑体"/>
          <w:sz w:val="32"/>
          <w:szCs w:val="32"/>
        </w:rPr>
      </w:pPr>
    </w:p>
    <w:p>
      <w:pPr>
        <w:rPr>
          <w:rFonts w:hint="eastAsia" w:ascii="黑体" w:hAnsi="黑体" w:eastAsia="黑体"/>
          <w:sz w:val="32"/>
          <w:szCs w:val="32"/>
          <w:lang w:eastAsia="zh-CN"/>
        </w:rPr>
      </w:pPr>
    </w:p>
    <w:p>
      <w:pPr>
        <w:spacing w:beforeLines="0" w:afterLines="0"/>
        <w:rPr>
          <w:rFonts w:hint="eastAsia" w:ascii="黑体" w:hAnsi="黑体" w:eastAsia="黑体"/>
          <w:sz w:val="32"/>
        </w:rPr>
      </w:pPr>
    </w:p>
    <w:p>
      <w:pPr>
        <w:spacing w:beforeLines="0" w:afterLines="0"/>
        <w:ind w:firstLine="640" w:firstLineChars="200"/>
        <w:rPr>
          <w:rFonts w:hint="eastAsia" w:ascii="黑体" w:hAnsi="黑体" w:eastAsia="黑体"/>
          <w:sz w:val="32"/>
        </w:rPr>
      </w:pPr>
      <w:r>
        <w:rPr>
          <w:rFonts w:hint="eastAsia" w:ascii="黑体" w:hAnsi="黑体" w:eastAsia="黑体"/>
          <w:sz w:val="32"/>
        </w:rPr>
        <w:t xml:space="preserve">第三部分  </w:t>
      </w:r>
      <w:r>
        <w:rPr>
          <w:rFonts w:hint="eastAsia" w:ascii="黑体" w:hAnsi="黑体" w:eastAsia="黑体"/>
          <w:sz w:val="32"/>
          <w:lang w:eastAsia="zh-CN"/>
        </w:rPr>
        <w:t>海口市人力资源和社会保障局本级</w:t>
      </w:r>
      <w:r>
        <w:rPr>
          <w:rFonts w:hint="eastAsia" w:ascii="黑体" w:hAnsi="黑体" w:eastAsia="黑体"/>
          <w:sz w:val="32"/>
        </w:rPr>
        <w:t>预算情况说明</w:t>
      </w:r>
    </w:p>
    <w:p>
      <w:pPr>
        <w:spacing w:beforeLines="0" w:afterLines="0"/>
        <w:ind w:firstLine="640" w:firstLineChars="200"/>
        <w:jc w:val="left"/>
        <w:rPr>
          <w:rFonts w:hint="eastAsia" w:ascii="黑体" w:hAnsi="黑体" w:eastAsia="黑体"/>
          <w:sz w:val="32"/>
        </w:rPr>
      </w:pPr>
      <w:r>
        <w:rPr>
          <w:rFonts w:hint="eastAsia" w:ascii="黑体" w:hAnsi="黑体" w:eastAsia="黑体"/>
          <w:sz w:val="32"/>
        </w:rPr>
        <w:t>一、关于</w:t>
      </w:r>
      <w:r>
        <w:rPr>
          <w:rFonts w:hint="eastAsia" w:ascii="黑体" w:hAnsi="黑体" w:eastAsia="黑体"/>
          <w:sz w:val="32"/>
          <w:lang w:eastAsia="zh-CN"/>
        </w:rPr>
        <w:t>海口市人力资源和社会保障局本级</w:t>
      </w:r>
      <w:r>
        <w:rPr>
          <w:rFonts w:hint="eastAsia" w:ascii="黑体" w:hAnsi="黑体" w:eastAsia="黑体"/>
          <w:sz w:val="32"/>
          <w:lang w:val="en-US" w:eastAsia="zh-CN"/>
        </w:rPr>
        <w:t>2024</w:t>
      </w:r>
      <w:r>
        <w:rPr>
          <w:rFonts w:hint="eastAsia" w:ascii="黑体" w:hAnsi="黑体" w:eastAsia="黑体"/>
          <w:sz w:val="32"/>
        </w:rPr>
        <w:t>年财政拨款收支预算情况的总体说明</w:t>
      </w:r>
    </w:p>
    <w:p>
      <w:pPr>
        <w:spacing w:beforeLines="0" w:afterLines="0"/>
        <w:ind w:firstLine="640" w:firstLineChars="200"/>
        <w:jc w:val="left"/>
        <w:rPr>
          <w:rFonts w:hint="eastAsia" w:ascii="仿宋_GB2312" w:hAnsi="黑体" w:eastAsia="仿宋_GB2312"/>
          <w:sz w:val="32"/>
          <w:lang w:eastAsia="zh-CN"/>
        </w:rPr>
      </w:pP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年财政拨款收支总预算</w:t>
      </w:r>
      <w:r>
        <w:rPr>
          <w:rFonts w:hint="eastAsia" w:ascii="仿宋_GB2312" w:hAnsi="黑体" w:eastAsia="仿宋_GB2312"/>
          <w:sz w:val="32"/>
          <w:lang w:val="en-US" w:eastAsia="zh-CN"/>
        </w:rPr>
        <w:t>1,828.54</w:t>
      </w:r>
      <w:r>
        <w:rPr>
          <w:rFonts w:hint="eastAsia" w:ascii="仿宋_GB2312" w:hAnsi="黑体" w:eastAsia="仿宋_GB2312"/>
          <w:sz w:val="32"/>
        </w:rPr>
        <w:t>万元。其中，收入总计</w:t>
      </w:r>
      <w:r>
        <w:rPr>
          <w:rFonts w:hint="eastAsia" w:ascii="仿宋_GB2312" w:hAnsi="黑体" w:eastAsia="仿宋_GB2312"/>
          <w:sz w:val="32"/>
          <w:lang w:val="en-US" w:eastAsia="zh-CN"/>
        </w:rPr>
        <w:t>1,828.54</w:t>
      </w:r>
      <w:r>
        <w:rPr>
          <w:rFonts w:hint="eastAsia" w:ascii="仿宋_GB2312" w:hAnsi="黑体" w:eastAsia="仿宋_GB2312"/>
          <w:sz w:val="32"/>
        </w:rPr>
        <w:t>万元，包括一般公共预算本年收入</w:t>
      </w:r>
      <w:r>
        <w:rPr>
          <w:rFonts w:hint="eastAsia" w:ascii="仿宋_GB2312" w:hAnsi="黑体" w:eastAsia="仿宋_GB2312"/>
          <w:sz w:val="32"/>
          <w:lang w:val="en-US" w:eastAsia="zh-CN"/>
        </w:rPr>
        <w:t>1,828.54</w:t>
      </w:r>
      <w:r>
        <w:rPr>
          <w:rFonts w:hint="eastAsia" w:ascii="仿宋_GB2312" w:hAnsi="黑体" w:eastAsia="仿宋_GB2312"/>
          <w:sz w:val="32"/>
        </w:rPr>
        <w:t>万元、上年结转</w:t>
      </w:r>
      <w:r>
        <w:rPr>
          <w:rFonts w:hint="eastAsia" w:ascii="仿宋_GB2312" w:hAnsi="黑体" w:eastAsia="仿宋_GB2312"/>
          <w:sz w:val="32"/>
          <w:lang w:val="en-US" w:eastAsia="zh-CN"/>
        </w:rPr>
        <w:t>0</w:t>
      </w:r>
      <w:r>
        <w:rPr>
          <w:rFonts w:hint="eastAsia" w:ascii="仿宋_GB2312" w:hAnsi="黑体" w:eastAsia="仿宋_GB2312"/>
          <w:sz w:val="32"/>
        </w:rPr>
        <w:t>万元，政府性基金预算本年收入</w:t>
      </w:r>
      <w:r>
        <w:rPr>
          <w:rFonts w:hint="eastAsia" w:ascii="仿宋_GB2312" w:hAnsi="黑体" w:eastAsia="仿宋_GB2312"/>
          <w:sz w:val="32"/>
          <w:lang w:val="en-US" w:eastAsia="zh-CN"/>
        </w:rPr>
        <w:t>0</w:t>
      </w:r>
      <w:r>
        <w:rPr>
          <w:rFonts w:hint="eastAsia" w:ascii="仿宋_GB2312" w:hAnsi="黑体" w:eastAsia="仿宋_GB2312"/>
          <w:sz w:val="32"/>
        </w:rPr>
        <w:t>万元、上年结转</w:t>
      </w:r>
      <w:r>
        <w:rPr>
          <w:rFonts w:hint="eastAsia" w:ascii="仿宋_GB2312" w:hAnsi="黑体" w:eastAsia="仿宋_GB2312"/>
          <w:sz w:val="32"/>
          <w:lang w:val="en-US" w:eastAsia="zh-CN"/>
        </w:rPr>
        <w:t>0</w:t>
      </w:r>
      <w:r>
        <w:rPr>
          <w:rFonts w:hint="eastAsia" w:ascii="仿宋_GB2312" w:hAnsi="黑体" w:eastAsia="仿宋_GB2312"/>
          <w:sz w:val="32"/>
        </w:rPr>
        <w:t>万元；支出总计</w:t>
      </w:r>
      <w:r>
        <w:rPr>
          <w:rFonts w:hint="eastAsia" w:ascii="仿宋_GB2312" w:hAnsi="黑体" w:eastAsia="仿宋_GB2312"/>
          <w:sz w:val="32"/>
          <w:lang w:val="en-US" w:eastAsia="zh-CN"/>
        </w:rPr>
        <w:t>1,828.54</w:t>
      </w:r>
      <w:r>
        <w:rPr>
          <w:rFonts w:hint="eastAsia" w:ascii="仿宋_GB2312" w:hAnsi="黑体" w:eastAsia="仿宋_GB2312"/>
          <w:sz w:val="32"/>
        </w:rPr>
        <w:t>万元，包括社会保障和就业支出</w:t>
      </w:r>
      <w:r>
        <w:rPr>
          <w:rFonts w:hint="eastAsia" w:ascii="仿宋_GB2312" w:hAnsi="黑体" w:eastAsia="仿宋_GB2312"/>
          <w:sz w:val="32"/>
          <w:lang w:val="en-US" w:eastAsia="zh-CN"/>
        </w:rPr>
        <w:t>1,584.62</w:t>
      </w:r>
      <w:r>
        <w:rPr>
          <w:rFonts w:hint="eastAsia" w:ascii="仿宋_GB2312" w:hAnsi="黑体" w:eastAsia="仿宋_GB2312"/>
          <w:sz w:val="32"/>
        </w:rPr>
        <w:t>万元</w:t>
      </w:r>
      <w:r>
        <w:rPr>
          <w:rFonts w:hint="eastAsia" w:ascii="仿宋_GB2312" w:hAnsi="黑体" w:eastAsia="仿宋_GB2312"/>
          <w:sz w:val="32"/>
          <w:lang w:eastAsia="zh-CN"/>
        </w:rPr>
        <w:t>、卫生健康支出</w:t>
      </w:r>
      <w:r>
        <w:rPr>
          <w:rFonts w:hint="eastAsia" w:ascii="仿宋_GB2312" w:hAnsi="黑体" w:eastAsia="仿宋_GB2312"/>
          <w:sz w:val="32"/>
          <w:lang w:val="en-US" w:eastAsia="zh-CN"/>
        </w:rPr>
        <w:t>147.03</w:t>
      </w:r>
      <w:r>
        <w:rPr>
          <w:rFonts w:hint="eastAsia" w:ascii="仿宋_GB2312" w:hAnsi="黑体" w:eastAsia="仿宋_GB2312"/>
          <w:sz w:val="32"/>
        </w:rPr>
        <w:t>万元</w:t>
      </w:r>
      <w:r>
        <w:rPr>
          <w:rFonts w:hint="eastAsia" w:ascii="仿宋_GB2312" w:hAnsi="黑体" w:eastAsia="仿宋_GB2312"/>
          <w:sz w:val="32"/>
          <w:lang w:eastAsia="zh-CN"/>
        </w:rPr>
        <w:t>、住房保障支出</w:t>
      </w:r>
      <w:r>
        <w:rPr>
          <w:rFonts w:hint="eastAsia" w:ascii="仿宋_GB2312" w:hAnsi="黑体" w:eastAsia="仿宋_GB2312"/>
          <w:sz w:val="32"/>
          <w:lang w:val="en-US" w:eastAsia="zh-CN"/>
        </w:rPr>
        <w:t>96.89</w:t>
      </w:r>
      <w:r>
        <w:rPr>
          <w:rFonts w:hint="eastAsia" w:ascii="仿宋_GB2312" w:hAnsi="黑体" w:eastAsia="仿宋_GB2312"/>
          <w:sz w:val="32"/>
        </w:rPr>
        <w:t>万元</w:t>
      </w:r>
      <w:r>
        <w:rPr>
          <w:rFonts w:hint="eastAsia" w:ascii="仿宋_GB2312" w:hAnsi="黑体" w:eastAsia="仿宋_GB2312"/>
          <w:sz w:val="32"/>
          <w:lang w:eastAsia="zh-CN"/>
        </w:rPr>
        <w:t>。</w:t>
      </w:r>
    </w:p>
    <w:p>
      <w:pPr>
        <w:spacing w:beforeLines="0" w:afterLines="0"/>
        <w:ind w:firstLine="640"/>
        <w:jc w:val="left"/>
        <w:rPr>
          <w:rFonts w:hint="eastAsia" w:ascii="黑体" w:hAnsi="黑体" w:eastAsia="黑体"/>
          <w:sz w:val="32"/>
        </w:rPr>
      </w:pPr>
      <w:r>
        <w:rPr>
          <w:rFonts w:hint="eastAsia" w:ascii="黑体" w:hAnsi="黑体" w:eastAsia="黑体"/>
          <w:sz w:val="32"/>
        </w:rPr>
        <w:t>二、关于</w:t>
      </w:r>
      <w:r>
        <w:rPr>
          <w:rFonts w:hint="eastAsia" w:ascii="黑体" w:hAnsi="黑体" w:eastAsia="黑体"/>
          <w:sz w:val="32"/>
          <w:lang w:eastAsia="zh-CN"/>
        </w:rPr>
        <w:t>海口市人力资源和社会保障局本级</w:t>
      </w:r>
      <w:r>
        <w:rPr>
          <w:rFonts w:hint="eastAsia" w:ascii="黑体" w:hAnsi="黑体" w:eastAsia="黑体"/>
          <w:sz w:val="32"/>
          <w:lang w:val="en-US" w:eastAsia="zh-CN"/>
        </w:rPr>
        <w:t>2024</w:t>
      </w:r>
      <w:r>
        <w:rPr>
          <w:rFonts w:hint="eastAsia" w:ascii="黑体" w:hAnsi="黑体" w:eastAsia="黑体"/>
          <w:sz w:val="32"/>
        </w:rPr>
        <w:t>年一般公共预算当年拨款情况说明</w:t>
      </w:r>
    </w:p>
    <w:p>
      <w:pPr>
        <w:spacing w:beforeLines="0" w:afterLines="0"/>
        <w:ind w:firstLine="640"/>
        <w:jc w:val="left"/>
        <w:rPr>
          <w:rFonts w:hint="eastAsia" w:ascii="楷体" w:hAnsi="楷体" w:eastAsia="楷体"/>
          <w:sz w:val="32"/>
        </w:rPr>
      </w:pPr>
      <w:r>
        <w:rPr>
          <w:rFonts w:hint="eastAsia" w:ascii="楷体" w:hAnsi="楷体" w:eastAsia="楷体"/>
          <w:sz w:val="32"/>
        </w:rPr>
        <w:t>（一）一般公共预算当年规模变化情况</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eastAsia="zh-CN"/>
        </w:rPr>
        <w:t>海口市人力资源和社会保障局</w:t>
      </w:r>
      <w:r>
        <w:rPr>
          <w:rFonts w:hint="eastAsia" w:ascii="仿宋_GB2312" w:hAnsi="黑体" w:eastAsia="仿宋_GB2312"/>
          <w:sz w:val="32"/>
          <w:lang w:val="en-US" w:eastAsia="zh-CN"/>
        </w:rPr>
        <w:t>2024</w:t>
      </w:r>
      <w:r>
        <w:rPr>
          <w:rFonts w:hint="eastAsia" w:ascii="仿宋_GB2312" w:hAnsi="黑体" w:eastAsia="仿宋_GB2312"/>
          <w:sz w:val="32"/>
        </w:rPr>
        <w:t>年一般公共预算当年拨款</w:t>
      </w:r>
      <w:r>
        <w:rPr>
          <w:rFonts w:hint="eastAsia" w:ascii="仿宋_GB2312" w:hAnsi="黑体" w:eastAsia="仿宋_GB2312"/>
          <w:sz w:val="32"/>
          <w:lang w:val="en-US" w:eastAsia="zh-CN"/>
        </w:rPr>
        <w:t>1828.54</w:t>
      </w:r>
      <w:r>
        <w:rPr>
          <w:rFonts w:hint="eastAsia" w:ascii="仿宋_GB2312" w:hAnsi="黑体" w:eastAsia="仿宋_GB2312"/>
          <w:sz w:val="32"/>
        </w:rPr>
        <w:t>万元</w:t>
      </w:r>
      <w:r>
        <w:rPr>
          <w:rFonts w:hint="eastAsia" w:ascii="仿宋_GB2312" w:hAnsi="黑体" w:eastAsia="仿宋_GB2312"/>
          <w:sz w:val="32"/>
          <w:lang w:eastAsia="zh-CN"/>
        </w:rPr>
        <w:t>。</w:t>
      </w:r>
    </w:p>
    <w:p>
      <w:pPr>
        <w:spacing w:beforeLines="0" w:afterLines="0"/>
        <w:ind w:firstLine="640"/>
        <w:jc w:val="left"/>
        <w:rPr>
          <w:rFonts w:hint="eastAsia" w:ascii="楷体" w:hAnsi="楷体" w:eastAsia="楷体"/>
          <w:sz w:val="32"/>
        </w:rPr>
      </w:pPr>
      <w:r>
        <w:rPr>
          <w:rFonts w:hint="eastAsia" w:ascii="楷体" w:hAnsi="楷体" w:eastAsia="楷体"/>
          <w:sz w:val="32"/>
        </w:rPr>
        <w:t>（二）一般公共预算当年拨款结构情况</w:t>
      </w:r>
    </w:p>
    <w:p>
      <w:pPr>
        <w:spacing w:beforeLines="0" w:afterLines="0"/>
        <w:ind w:firstLine="800" w:firstLineChars="250"/>
        <w:rPr>
          <w:rFonts w:hint="eastAsia" w:ascii="仿宋_GB2312" w:hAnsi="黑体" w:eastAsia="仿宋_GB2312"/>
          <w:sz w:val="32"/>
          <w:lang w:eastAsia="zh-CN"/>
        </w:rPr>
      </w:pPr>
      <w:r>
        <w:rPr>
          <w:rFonts w:hint="eastAsia" w:ascii="仿宋_GB2312" w:hAnsi="黑体" w:eastAsia="仿宋_GB2312"/>
          <w:sz w:val="32"/>
        </w:rPr>
        <w:t>社会保障和就业（类）支出</w:t>
      </w:r>
      <w:r>
        <w:rPr>
          <w:rFonts w:hint="eastAsia" w:ascii="仿宋_GB2312" w:hAnsi="黑体" w:eastAsia="仿宋_GB2312"/>
          <w:sz w:val="32"/>
          <w:lang w:val="en-US" w:eastAsia="zh-CN"/>
        </w:rPr>
        <w:t>1,584.62</w:t>
      </w:r>
      <w:r>
        <w:rPr>
          <w:rFonts w:hint="eastAsia" w:ascii="仿宋_GB2312" w:hAnsi="黑体" w:eastAsia="仿宋_GB2312"/>
          <w:sz w:val="32"/>
        </w:rPr>
        <w:t>万元，占</w:t>
      </w:r>
      <w:r>
        <w:rPr>
          <w:rFonts w:hint="eastAsia" w:ascii="仿宋_GB2312" w:hAnsi="黑体" w:eastAsia="仿宋_GB2312"/>
          <w:sz w:val="32"/>
          <w:lang w:val="en-US" w:eastAsia="zh-CN"/>
        </w:rPr>
        <w:t>86.65</w:t>
      </w:r>
      <w:r>
        <w:rPr>
          <w:rFonts w:hint="eastAsia" w:ascii="仿宋_GB2312" w:hAnsi="黑体" w:eastAsia="仿宋_GB2312"/>
          <w:sz w:val="32"/>
        </w:rPr>
        <w:t>%；卫生健康（类）支出</w:t>
      </w:r>
      <w:r>
        <w:rPr>
          <w:rFonts w:hint="eastAsia" w:ascii="仿宋_GB2312" w:hAnsi="黑体" w:eastAsia="仿宋_GB2312"/>
          <w:sz w:val="32"/>
          <w:lang w:val="en-US" w:eastAsia="zh-CN"/>
        </w:rPr>
        <w:t>147.03</w:t>
      </w:r>
      <w:r>
        <w:rPr>
          <w:rFonts w:hint="eastAsia" w:ascii="仿宋_GB2312" w:hAnsi="黑体" w:eastAsia="仿宋_GB2312"/>
          <w:sz w:val="32"/>
        </w:rPr>
        <w:t>万元，占</w:t>
      </w:r>
      <w:r>
        <w:rPr>
          <w:rFonts w:hint="eastAsia" w:ascii="仿宋_GB2312" w:hAnsi="黑体" w:eastAsia="仿宋_GB2312"/>
          <w:sz w:val="32"/>
          <w:lang w:val="en-US" w:eastAsia="zh-CN"/>
        </w:rPr>
        <w:t>8.04</w:t>
      </w:r>
      <w:r>
        <w:rPr>
          <w:rFonts w:hint="eastAsia" w:ascii="仿宋_GB2312" w:hAnsi="黑体" w:eastAsia="仿宋_GB2312"/>
          <w:sz w:val="32"/>
        </w:rPr>
        <w:t>%；住房保障（类）支出</w:t>
      </w:r>
      <w:r>
        <w:rPr>
          <w:rFonts w:hint="eastAsia" w:ascii="仿宋_GB2312" w:hAnsi="黑体" w:eastAsia="仿宋_GB2312"/>
          <w:sz w:val="32"/>
          <w:lang w:val="en-US" w:eastAsia="zh-CN"/>
        </w:rPr>
        <w:t>96.89</w:t>
      </w:r>
      <w:r>
        <w:rPr>
          <w:rFonts w:hint="eastAsia" w:ascii="仿宋_GB2312" w:hAnsi="黑体" w:eastAsia="仿宋_GB2312"/>
          <w:sz w:val="32"/>
        </w:rPr>
        <w:t>万元，占</w:t>
      </w:r>
      <w:r>
        <w:rPr>
          <w:rFonts w:hint="eastAsia" w:ascii="仿宋_GB2312" w:hAnsi="黑体" w:eastAsia="仿宋_GB2312"/>
          <w:sz w:val="32"/>
          <w:lang w:val="en-US" w:eastAsia="zh-CN"/>
        </w:rPr>
        <w:t>5.31</w:t>
      </w:r>
      <w:r>
        <w:rPr>
          <w:rFonts w:hint="eastAsia" w:ascii="仿宋_GB2312" w:hAnsi="黑体" w:eastAsia="仿宋_GB2312"/>
          <w:sz w:val="32"/>
        </w:rPr>
        <w:t>%</w:t>
      </w:r>
      <w:r>
        <w:rPr>
          <w:rFonts w:hint="eastAsia" w:ascii="仿宋_GB2312" w:hAnsi="黑体" w:eastAsia="仿宋_GB2312"/>
          <w:sz w:val="32"/>
          <w:lang w:eastAsia="zh-CN"/>
        </w:rPr>
        <w:t>。</w:t>
      </w:r>
    </w:p>
    <w:p>
      <w:pPr>
        <w:spacing w:beforeLines="0" w:afterLines="0"/>
        <w:ind w:firstLine="640"/>
        <w:jc w:val="left"/>
        <w:rPr>
          <w:rFonts w:hint="eastAsia" w:ascii="楷体" w:hAnsi="楷体" w:eastAsia="楷体"/>
          <w:sz w:val="32"/>
        </w:rPr>
      </w:pPr>
      <w:r>
        <w:rPr>
          <w:rFonts w:hint="eastAsia" w:ascii="楷体" w:hAnsi="楷体" w:eastAsia="楷体"/>
          <w:sz w:val="32"/>
        </w:rPr>
        <w:t>（三）一般公共预算当年拨款具体使用情况</w:t>
      </w:r>
    </w:p>
    <w:p>
      <w:pPr>
        <w:spacing w:beforeLines="0" w:afterLines="0"/>
        <w:ind w:firstLine="640" w:firstLineChars="200"/>
        <w:rPr>
          <w:rFonts w:hint="eastAsia" w:ascii="仿宋_GB2312" w:hAnsi="黑体" w:eastAsia="仿宋_GB2312"/>
          <w:sz w:val="32"/>
          <w:lang w:val="en-US" w:eastAsia="zh-CN"/>
        </w:rPr>
      </w:pPr>
      <w:r>
        <w:rPr>
          <w:rFonts w:hint="eastAsia" w:ascii="仿宋_GB2312" w:hAnsi="黑体" w:eastAsia="仿宋_GB2312"/>
          <w:sz w:val="32"/>
        </w:rPr>
        <w:t>1.社会保障和就业支出（类）人力资源和社会保障管理事务（款）行政运行（项）</w:t>
      </w:r>
      <w:r>
        <w:rPr>
          <w:rFonts w:hint="eastAsia" w:ascii="仿宋_GB2312" w:hAnsi="黑体" w:eastAsia="仿宋_GB2312"/>
          <w:sz w:val="32"/>
          <w:lang w:val="en-US" w:eastAsia="zh-CN"/>
        </w:rPr>
        <w:t>2024</w:t>
      </w:r>
      <w:r>
        <w:rPr>
          <w:rFonts w:hint="eastAsia" w:ascii="仿宋_GB2312" w:hAnsi="黑体" w:eastAsia="仿宋_GB2312"/>
          <w:sz w:val="32"/>
        </w:rPr>
        <w:t>年预算数为</w:t>
      </w:r>
      <w:r>
        <w:rPr>
          <w:rFonts w:hint="eastAsia" w:ascii="仿宋_GB2312" w:hAnsi="黑体" w:eastAsia="仿宋_GB2312"/>
          <w:sz w:val="32"/>
          <w:lang w:val="en-US" w:eastAsia="zh-CN"/>
        </w:rPr>
        <w:t>975.93</w:t>
      </w:r>
      <w:r>
        <w:rPr>
          <w:rFonts w:hint="eastAsia" w:ascii="仿宋_GB2312" w:hAnsi="黑体" w:eastAsia="仿宋_GB2312"/>
          <w:sz w:val="32"/>
        </w:rPr>
        <w:t>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rPr>
        <w:t>2.社会保障和就业支出（类）人力资源和社会保障管理事务（款）一般行政管理事务（项）</w:t>
      </w:r>
      <w:r>
        <w:rPr>
          <w:rFonts w:hint="eastAsia" w:ascii="仿宋_GB2312" w:hAnsi="黑体" w:eastAsia="仿宋_GB2312"/>
          <w:sz w:val="32"/>
          <w:lang w:val="en-US" w:eastAsia="zh-CN"/>
        </w:rPr>
        <w:t>2024</w:t>
      </w:r>
      <w:r>
        <w:rPr>
          <w:rFonts w:hint="eastAsia" w:ascii="仿宋_GB2312" w:hAnsi="黑体" w:eastAsia="仿宋_GB2312"/>
          <w:sz w:val="32"/>
        </w:rPr>
        <w:t>年预算数为399.78万元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3</w:t>
      </w:r>
      <w:r>
        <w:rPr>
          <w:rFonts w:hint="eastAsia" w:ascii="仿宋_GB2312" w:hAnsi="黑体" w:eastAsia="仿宋_GB2312"/>
          <w:sz w:val="32"/>
        </w:rPr>
        <w:t>.社会保障和就业支出（类）行政事业单位养老支出（款）机关事业单位基本养老保险缴费支出（项）</w:t>
      </w:r>
      <w:r>
        <w:rPr>
          <w:rFonts w:hint="eastAsia" w:ascii="仿宋_GB2312" w:hAnsi="黑体" w:eastAsia="仿宋_GB2312"/>
          <w:sz w:val="32"/>
          <w:lang w:val="en-US" w:eastAsia="zh-CN"/>
        </w:rPr>
        <w:t>2024</w:t>
      </w:r>
      <w:r>
        <w:rPr>
          <w:rFonts w:hint="eastAsia" w:ascii="仿宋_GB2312" w:hAnsi="黑体" w:eastAsia="仿宋_GB2312"/>
          <w:sz w:val="32"/>
        </w:rPr>
        <w:t>年预算数为103.26万元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val="en-US" w:eastAsia="zh-CN"/>
        </w:rPr>
      </w:pPr>
      <w:r>
        <w:rPr>
          <w:rFonts w:hint="eastAsia" w:ascii="仿宋_GB2312" w:hAnsi="黑体" w:eastAsia="仿宋_GB2312"/>
          <w:sz w:val="32"/>
          <w:lang w:val="en-US" w:eastAsia="zh-CN"/>
        </w:rPr>
        <w:t>4</w:t>
      </w:r>
      <w:r>
        <w:rPr>
          <w:rFonts w:hint="eastAsia" w:ascii="仿宋_GB2312" w:hAnsi="黑体" w:eastAsia="仿宋_GB2312"/>
          <w:sz w:val="32"/>
        </w:rPr>
        <w:t>.社会保障和就业支出（类）行政事业单位养老支出（款）机关事业单位职业年金缴费支出（项）</w:t>
      </w:r>
      <w:r>
        <w:rPr>
          <w:rFonts w:hint="eastAsia" w:ascii="仿宋_GB2312" w:hAnsi="黑体" w:eastAsia="仿宋_GB2312"/>
          <w:sz w:val="32"/>
          <w:lang w:val="en-US" w:eastAsia="zh-CN"/>
        </w:rPr>
        <w:t>2024</w:t>
      </w:r>
      <w:r>
        <w:rPr>
          <w:rFonts w:hint="eastAsia" w:ascii="仿宋_GB2312" w:hAnsi="黑体" w:eastAsia="仿宋_GB2312"/>
          <w:sz w:val="32"/>
        </w:rPr>
        <w:t>年预算数为51.63万元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val="en-US" w:eastAsia="zh-CN"/>
        </w:rPr>
      </w:pPr>
      <w:r>
        <w:rPr>
          <w:rFonts w:hint="eastAsia" w:ascii="仿宋_GB2312" w:hAnsi="黑体" w:eastAsia="仿宋_GB2312"/>
          <w:sz w:val="32"/>
          <w:lang w:val="en-US" w:eastAsia="zh-CN"/>
        </w:rPr>
        <w:t>5</w:t>
      </w:r>
      <w:r>
        <w:rPr>
          <w:rFonts w:hint="eastAsia" w:ascii="仿宋_GB2312" w:hAnsi="黑体" w:eastAsia="仿宋_GB2312"/>
          <w:sz w:val="32"/>
        </w:rPr>
        <w:t>.社会保障和就业支出（类）行政事业单位养老支出（款）其他行政事业单位养老支出（项）</w:t>
      </w:r>
      <w:r>
        <w:rPr>
          <w:rFonts w:hint="eastAsia" w:ascii="仿宋_GB2312" w:hAnsi="黑体" w:eastAsia="仿宋_GB2312"/>
          <w:sz w:val="32"/>
          <w:lang w:val="en-US" w:eastAsia="zh-CN"/>
        </w:rPr>
        <w:t>2024</w:t>
      </w:r>
      <w:r>
        <w:rPr>
          <w:rFonts w:hint="eastAsia" w:ascii="仿宋_GB2312" w:hAnsi="黑体" w:eastAsia="仿宋_GB2312"/>
          <w:sz w:val="32"/>
        </w:rPr>
        <w:t>年预算数为52.00万元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6</w:t>
      </w:r>
      <w:r>
        <w:rPr>
          <w:rFonts w:hint="eastAsia" w:ascii="仿宋_GB2312" w:hAnsi="黑体" w:eastAsia="仿宋_GB2312"/>
          <w:sz w:val="32"/>
        </w:rPr>
        <w:t>.社会保障和就业支出（类）抚恤（款）其他优抚支出（项）</w:t>
      </w:r>
      <w:r>
        <w:rPr>
          <w:rFonts w:hint="eastAsia" w:ascii="仿宋_GB2312" w:hAnsi="黑体" w:eastAsia="仿宋_GB2312"/>
          <w:sz w:val="32"/>
          <w:lang w:val="en-US" w:eastAsia="zh-CN"/>
        </w:rPr>
        <w:t>2024</w:t>
      </w:r>
      <w:r>
        <w:rPr>
          <w:rFonts w:hint="eastAsia" w:ascii="仿宋_GB2312" w:hAnsi="黑体" w:eastAsia="仿宋_GB2312"/>
          <w:sz w:val="32"/>
        </w:rPr>
        <w:t>年预算数为2.01万元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7</w:t>
      </w:r>
      <w:r>
        <w:rPr>
          <w:rFonts w:hint="eastAsia" w:ascii="仿宋_GB2312" w:hAnsi="黑体" w:eastAsia="仿宋_GB2312"/>
          <w:sz w:val="32"/>
        </w:rPr>
        <w:t>.卫生健康支出（类）行政事业单位医疗（款）行政单位医疗（项）</w:t>
      </w:r>
      <w:r>
        <w:rPr>
          <w:rFonts w:hint="eastAsia" w:ascii="仿宋_GB2312" w:hAnsi="黑体" w:eastAsia="仿宋_GB2312"/>
          <w:sz w:val="32"/>
          <w:lang w:val="en-US" w:eastAsia="zh-CN"/>
        </w:rPr>
        <w:t>2024</w:t>
      </w:r>
      <w:r>
        <w:rPr>
          <w:rFonts w:hint="eastAsia" w:ascii="仿宋_GB2312" w:hAnsi="黑体" w:eastAsia="仿宋_GB2312"/>
          <w:sz w:val="32"/>
        </w:rPr>
        <w:t>年预算数为60.64万元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8</w:t>
      </w:r>
      <w:r>
        <w:rPr>
          <w:rFonts w:hint="eastAsia" w:ascii="仿宋_GB2312" w:hAnsi="黑体" w:eastAsia="仿宋_GB2312"/>
          <w:sz w:val="32"/>
        </w:rPr>
        <w:t>.卫生健康支出（类）行政事业单位医疗（款）公务员医疗补助（项）</w:t>
      </w:r>
      <w:r>
        <w:rPr>
          <w:rFonts w:hint="eastAsia" w:ascii="仿宋_GB2312" w:hAnsi="黑体" w:eastAsia="仿宋_GB2312"/>
          <w:sz w:val="32"/>
          <w:lang w:val="en-US" w:eastAsia="zh-CN"/>
        </w:rPr>
        <w:t>2024</w:t>
      </w:r>
      <w:r>
        <w:rPr>
          <w:rFonts w:hint="eastAsia" w:ascii="仿宋_GB2312" w:hAnsi="黑体" w:eastAsia="仿宋_GB2312"/>
          <w:sz w:val="32"/>
        </w:rPr>
        <w:t>年预算数为79.89万元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9</w:t>
      </w:r>
      <w:r>
        <w:rPr>
          <w:rFonts w:hint="eastAsia" w:ascii="仿宋_GB2312" w:hAnsi="黑体" w:eastAsia="仿宋_GB2312"/>
          <w:sz w:val="32"/>
        </w:rPr>
        <w:t>.卫生健康支出（类）行政事业单位医疗（款）其他行政事业单位医疗支出（项）</w:t>
      </w:r>
      <w:r>
        <w:rPr>
          <w:rFonts w:hint="eastAsia" w:ascii="仿宋_GB2312" w:hAnsi="黑体" w:eastAsia="仿宋_GB2312"/>
          <w:sz w:val="32"/>
          <w:lang w:val="en-US" w:eastAsia="zh-CN"/>
        </w:rPr>
        <w:t>2024</w:t>
      </w:r>
      <w:r>
        <w:rPr>
          <w:rFonts w:hint="eastAsia" w:ascii="仿宋_GB2312" w:hAnsi="黑体" w:eastAsia="仿宋_GB2312"/>
          <w:sz w:val="32"/>
        </w:rPr>
        <w:t>年预算数为6.50万元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10</w:t>
      </w:r>
      <w:r>
        <w:rPr>
          <w:rFonts w:hint="eastAsia" w:ascii="仿宋_GB2312" w:hAnsi="黑体" w:eastAsia="仿宋_GB2312"/>
          <w:sz w:val="32"/>
        </w:rPr>
        <w:t>. 住房保障支出（类）住房改革支出（款）住房公积金（项）</w:t>
      </w:r>
      <w:r>
        <w:rPr>
          <w:rFonts w:hint="eastAsia" w:ascii="仿宋_GB2312" w:hAnsi="黑体" w:eastAsia="仿宋_GB2312"/>
          <w:sz w:val="32"/>
          <w:lang w:val="en-US" w:eastAsia="zh-CN"/>
        </w:rPr>
        <w:t>2024</w:t>
      </w:r>
      <w:r>
        <w:rPr>
          <w:rFonts w:hint="eastAsia" w:ascii="仿宋_GB2312" w:hAnsi="黑体" w:eastAsia="仿宋_GB2312"/>
          <w:sz w:val="32"/>
        </w:rPr>
        <w:t>年预算数为95.87万元</w:t>
      </w:r>
      <w:r>
        <w:rPr>
          <w:rFonts w:hint="eastAsia" w:ascii="仿宋_GB2312" w:hAnsi="黑体" w:eastAsia="仿宋_GB2312"/>
          <w:sz w:val="32"/>
          <w:lang w:eastAsia="zh-CN"/>
        </w:rPr>
        <w:t>。</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val="en-US" w:eastAsia="zh-CN"/>
        </w:rPr>
        <w:t>11</w:t>
      </w:r>
      <w:r>
        <w:rPr>
          <w:rFonts w:hint="eastAsia" w:ascii="仿宋_GB2312" w:hAnsi="黑体" w:eastAsia="仿宋_GB2312"/>
          <w:sz w:val="32"/>
        </w:rPr>
        <w:t>. 住房保障支出（类）住房改革支出（款）购房补贴（项）</w:t>
      </w:r>
      <w:r>
        <w:rPr>
          <w:rFonts w:hint="eastAsia" w:ascii="仿宋_GB2312" w:hAnsi="黑体" w:eastAsia="仿宋_GB2312"/>
          <w:sz w:val="32"/>
          <w:lang w:val="en-US" w:eastAsia="zh-CN"/>
        </w:rPr>
        <w:t>2024</w:t>
      </w:r>
      <w:r>
        <w:rPr>
          <w:rFonts w:hint="eastAsia" w:ascii="仿宋_GB2312" w:hAnsi="黑体" w:eastAsia="仿宋_GB2312"/>
          <w:sz w:val="32"/>
        </w:rPr>
        <w:t>年预算数为1.02万元</w:t>
      </w:r>
      <w:r>
        <w:rPr>
          <w:rFonts w:hint="eastAsia" w:ascii="仿宋_GB2312" w:hAnsi="黑体" w:eastAsia="仿宋_GB2312"/>
          <w:sz w:val="32"/>
          <w:lang w:eastAsia="zh-CN"/>
        </w:rPr>
        <w:t>。</w:t>
      </w:r>
    </w:p>
    <w:p>
      <w:pPr>
        <w:spacing w:beforeLines="0" w:afterLines="0"/>
        <w:ind w:firstLine="640"/>
        <w:rPr>
          <w:rFonts w:hint="eastAsia" w:ascii="黑体" w:hAnsi="黑体" w:eastAsia="黑体"/>
          <w:sz w:val="32"/>
        </w:rPr>
      </w:pPr>
      <w:r>
        <w:rPr>
          <w:rFonts w:hint="eastAsia" w:ascii="黑体" w:hAnsi="黑体" w:eastAsia="黑体"/>
          <w:sz w:val="32"/>
        </w:rPr>
        <w:t>三、关于</w:t>
      </w:r>
      <w:r>
        <w:rPr>
          <w:rFonts w:hint="eastAsia" w:ascii="黑体" w:hAnsi="黑体" w:eastAsia="黑体"/>
          <w:sz w:val="32"/>
          <w:lang w:eastAsia="zh-CN"/>
        </w:rPr>
        <w:t>海口市人力资源和社会保障局本级</w:t>
      </w:r>
      <w:r>
        <w:rPr>
          <w:rFonts w:hint="eastAsia" w:ascii="黑体" w:hAnsi="黑体" w:eastAsia="黑体"/>
          <w:sz w:val="32"/>
          <w:lang w:val="en-US" w:eastAsia="zh-CN"/>
        </w:rPr>
        <w:t>2024</w:t>
      </w:r>
      <w:r>
        <w:rPr>
          <w:rFonts w:hint="eastAsia" w:ascii="黑体" w:hAnsi="黑体" w:eastAsia="黑体"/>
          <w:sz w:val="32"/>
        </w:rPr>
        <w:t>年一般公共预算基本支出情况说明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年一般公共预算基本支出为1,428.76万元，其中：</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rPr>
        <w:t>人员经费1,302.28万元，主要包括：基本工资242.37</w:t>
      </w:r>
      <w:r>
        <w:rPr>
          <w:rFonts w:hint="eastAsia" w:ascii="仿宋_GB2312" w:hAnsi="黑体" w:eastAsia="仿宋_GB2312"/>
          <w:sz w:val="32"/>
          <w:lang w:eastAsia="zh-CN"/>
        </w:rPr>
        <w:t>万元</w:t>
      </w:r>
      <w:r>
        <w:rPr>
          <w:rFonts w:hint="eastAsia" w:ascii="仿宋_GB2312" w:hAnsi="黑体" w:eastAsia="仿宋_GB2312"/>
          <w:sz w:val="32"/>
        </w:rPr>
        <w:t>、津贴补贴348.37</w:t>
      </w:r>
      <w:r>
        <w:rPr>
          <w:rFonts w:hint="eastAsia" w:ascii="仿宋_GB2312" w:hAnsi="黑体" w:eastAsia="仿宋_GB2312"/>
          <w:sz w:val="32"/>
          <w:lang w:eastAsia="zh-CN"/>
        </w:rPr>
        <w:t>万元</w:t>
      </w:r>
      <w:r>
        <w:rPr>
          <w:rFonts w:hint="eastAsia" w:ascii="仿宋_GB2312" w:hAnsi="黑体" w:eastAsia="仿宋_GB2312"/>
          <w:sz w:val="32"/>
        </w:rPr>
        <w:t>、奖金169.71</w:t>
      </w:r>
      <w:r>
        <w:rPr>
          <w:rFonts w:hint="eastAsia" w:ascii="仿宋_GB2312" w:hAnsi="黑体" w:eastAsia="仿宋_GB2312"/>
          <w:sz w:val="32"/>
          <w:lang w:eastAsia="zh-CN"/>
        </w:rPr>
        <w:t>万元</w:t>
      </w:r>
      <w:r>
        <w:rPr>
          <w:rFonts w:hint="eastAsia" w:ascii="仿宋_GB2312" w:hAnsi="黑体" w:eastAsia="仿宋_GB2312"/>
          <w:sz w:val="32"/>
        </w:rPr>
        <w:t>、机关事业单位基本养老保险缴费103.26</w:t>
      </w:r>
      <w:r>
        <w:rPr>
          <w:rFonts w:hint="eastAsia" w:ascii="仿宋_GB2312" w:hAnsi="黑体" w:eastAsia="仿宋_GB2312"/>
          <w:sz w:val="32"/>
          <w:lang w:eastAsia="zh-CN"/>
        </w:rPr>
        <w:t>万元、职业年金缴费51.63万元</w:t>
      </w:r>
      <w:r>
        <w:rPr>
          <w:rFonts w:hint="eastAsia" w:ascii="仿宋_GB2312" w:hAnsi="黑体" w:eastAsia="仿宋_GB2312"/>
          <w:sz w:val="32"/>
        </w:rPr>
        <w:t>、职工基本医疗保险缴费60.64</w:t>
      </w:r>
      <w:r>
        <w:rPr>
          <w:rFonts w:hint="eastAsia" w:ascii="仿宋_GB2312" w:hAnsi="黑体" w:eastAsia="仿宋_GB2312"/>
          <w:sz w:val="32"/>
          <w:lang w:eastAsia="zh-CN"/>
        </w:rPr>
        <w:t>万元、公务员医疗补助缴费79.89万元、其他社会保障缴费9.99万元、住房公积金95.87万元、医疗费6.50万元、其他工资福利支出20.04万元、邮电费8.75万元、其他交通费用43.81万元、生活补助6.01万元、医疗费补助</w:t>
      </w:r>
      <w:r>
        <w:rPr>
          <w:rFonts w:hint="eastAsia" w:ascii="仿宋_GB2312" w:hAnsi="黑体" w:eastAsia="仿宋_GB2312"/>
          <w:sz w:val="32"/>
          <w:lang w:val="en-US" w:eastAsia="zh-CN"/>
        </w:rPr>
        <w:t>52.00万元、奖励金0.24万元、其他对个人和家庭的补助3.20万元。</w:t>
      </w:r>
    </w:p>
    <w:p>
      <w:pPr>
        <w:spacing w:beforeLines="0" w:afterLines="0"/>
        <w:ind w:firstLine="640" w:firstLineChars="200"/>
        <w:rPr>
          <w:rFonts w:hint="eastAsia" w:ascii="仿宋_GB2312" w:hAnsi="黑体" w:eastAsia="仿宋_GB2312"/>
          <w:sz w:val="32"/>
          <w:lang w:val="en-US" w:eastAsia="zh-CN"/>
        </w:rPr>
      </w:pPr>
      <w:r>
        <w:rPr>
          <w:rFonts w:hint="eastAsia" w:ascii="仿宋_GB2312" w:hAnsi="黑体" w:eastAsia="仿宋_GB2312"/>
          <w:sz w:val="32"/>
        </w:rPr>
        <w:t>公用经费126.48万元，主要包括：</w:t>
      </w:r>
      <w:r>
        <w:rPr>
          <w:rFonts w:hint="eastAsia" w:ascii="仿宋_GB2312" w:hAnsi="黑体" w:eastAsia="仿宋_GB2312"/>
          <w:sz w:val="32"/>
          <w:lang w:val="en-US" w:eastAsia="zh-CN"/>
        </w:rPr>
        <w:t>其他工资福利支出1.5万元、</w:t>
      </w:r>
      <w:r>
        <w:rPr>
          <w:rFonts w:hint="eastAsia" w:ascii="仿宋_GB2312" w:hAnsi="黑体" w:eastAsia="仿宋_GB2312"/>
          <w:sz w:val="32"/>
        </w:rPr>
        <w:t>办公费16.36</w:t>
      </w:r>
      <w:r>
        <w:rPr>
          <w:rFonts w:hint="eastAsia" w:ascii="仿宋_GB2312" w:hAnsi="黑体" w:eastAsia="仿宋_GB2312"/>
          <w:sz w:val="32"/>
          <w:lang w:eastAsia="zh-CN"/>
        </w:rPr>
        <w:t>万元</w:t>
      </w:r>
      <w:r>
        <w:rPr>
          <w:rFonts w:hint="eastAsia" w:ascii="仿宋_GB2312" w:hAnsi="黑体" w:eastAsia="仿宋_GB2312"/>
          <w:sz w:val="32"/>
        </w:rPr>
        <w:t>、印刷费</w:t>
      </w:r>
      <w:r>
        <w:rPr>
          <w:rFonts w:hint="eastAsia" w:ascii="仿宋_GB2312" w:hAnsi="黑体" w:eastAsia="仿宋_GB2312"/>
          <w:sz w:val="32"/>
          <w:lang w:val="en-US" w:eastAsia="zh-CN"/>
        </w:rPr>
        <w:t>3.00万元、</w:t>
      </w:r>
      <w:r>
        <w:rPr>
          <w:rFonts w:hint="eastAsia" w:ascii="仿宋_GB2312" w:hAnsi="黑体" w:eastAsia="仿宋_GB2312"/>
          <w:sz w:val="32"/>
        </w:rPr>
        <w:t>咨询费</w:t>
      </w:r>
      <w:r>
        <w:rPr>
          <w:rFonts w:hint="eastAsia" w:ascii="仿宋_GB2312" w:hAnsi="黑体" w:eastAsia="仿宋_GB2312"/>
          <w:sz w:val="32"/>
          <w:lang w:val="en-US" w:eastAsia="zh-CN"/>
        </w:rPr>
        <w:t>0.2万元、手续费0.3万元</w:t>
      </w:r>
      <w:r>
        <w:rPr>
          <w:rFonts w:hint="eastAsia" w:ascii="仿宋_GB2312" w:hAnsi="黑体" w:eastAsia="仿宋_GB2312"/>
          <w:sz w:val="32"/>
        </w:rPr>
        <w:t>、邮电费</w:t>
      </w:r>
      <w:r>
        <w:rPr>
          <w:rFonts w:hint="eastAsia" w:ascii="仿宋_GB2312" w:hAnsi="黑体" w:eastAsia="仿宋_GB2312"/>
          <w:sz w:val="32"/>
          <w:lang w:val="en-US" w:eastAsia="zh-CN"/>
        </w:rPr>
        <w:t>3</w:t>
      </w:r>
      <w:r>
        <w:rPr>
          <w:rFonts w:hint="eastAsia" w:ascii="仿宋_GB2312" w:hAnsi="黑体" w:eastAsia="仿宋_GB2312"/>
          <w:sz w:val="32"/>
          <w:lang w:eastAsia="zh-CN"/>
        </w:rPr>
        <w:t>万元、物业管理费</w:t>
      </w:r>
      <w:r>
        <w:rPr>
          <w:rFonts w:hint="eastAsia" w:ascii="仿宋_GB2312" w:hAnsi="黑体" w:eastAsia="仿宋_GB2312"/>
          <w:sz w:val="32"/>
          <w:lang w:val="en-US" w:eastAsia="zh-CN"/>
        </w:rPr>
        <w:t>3万元</w:t>
      </w:r>
      <w:r>
        <w:rPr>
          <w:rFonts w:hint="eastAsia" w:ascii="仿宋_GB2312" w:hAnsi="黑体" w:eastAsia="仿宋_GB2312"/>
          <w:sz w:val="32"/>
        </w:rPr>
        <w:t>、差旅费</w:t>
      </w:r>
      <w:r>
        <w:rPr>
          <w:rFonts w:hint="eastAsia" w:ascii="仿宋_GB2312" w:hAnsi="黑体" w:eastAsia="仿宋_GB2312"/>
          <w:sz w:val="32"/>
          <w:lang w:val="en-US" w:eastAsia="zh-CN"/>
        </w:rPr>
        <w:t>9万元、维修(护)费3万元、租赁费0.5万元、培训费3万元、专用材料费0.5万元、委托业务费35万元、工会经费12.98万元、公务用车运行维护费6.65万元、其他商品和服务支出24.5万元、办公设备购置4万元。</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四、</w:t>
      </w:r>
      <w:r>
        <w:rPr>
          <w:rFonts w:hint="eastAsia" w:ascii="黑体" w:hAnsi="黑体" w:eastAsia="黑体"/>
          <w:sz w:val="32"/>
          <w:shd w:val="clear" w:color="auto" w:fill="FFFFFF"/>
          <w:lang w:eastAsia="zh-CN"/>
        </w:rPr>
        <w:t>海口市人力资源和社会保障局本级</w:t>
      </w:r>
      <w:r>
        <w:rPr>
          <w:rFonts w:hint="eastAsia" w:ascii="黑体" w:hAnsi="黑体" w:eastAsia="黑体"/>
          <w:sz w:val="32"/>
          <w:shd w:val="clear" w:color="auto" w:fill="FFFFFF"/>
          <w:lang w:val="en-US" w:eastAsia="zh-CN"/>
        </w:rPr>
        <w:t>2024</w:t>
      </w:r>
      <w:r>
        <w:rPr>
          <w:rFonts w:hint="eastAsia" w:ascii="黑体" w:hAnsi="黑体" w:eastAsia="黑体"/>
          <w:sz w:val="32"/>
          <w:shd w:val="clear" w:color="auto" w:fill="FFFFFF"/>
        </w:rPr>
        <w:t>年“三公”经费预算情况说明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rPr>
        <w:t>（一）</w:t>
      </w: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年一般公共预算“三公”经费预算数为</w:t>
      </w:r>
      <w:r>
        <w:rPr>
          <w:rFonts w:hint="eastAsia" w:ascii="仿宋_GB2312" w:hAnsi="黑体" w:eastAsia="仿宋_GB2312"/>
          <w:sz w:val="32"/>
          <w:lang w:val="en-US" w:eastAsia="zh-CN"/>
        </w:rPr>
        <w:t>6.65</w:t>
      </w:r>
      <w:r>
        <w:rPr>
          <w:rFonts w:hint="eastAsia" w:ascii="仿宋_GB2312" w:hAnsi="黑体" w:eastAsia="仿宋_GB2312"/>
          <w:sz w:val="32"/>
        </w:rPr>
        <w:t>万元，其中：</w:t>
      </w:r>
    </w:p>
    <w:p>
      <w:pPr>
        <w:spacing w:beforeLines="0" w:afterLines="0"/>
        <w:ind w:firstLine="630"/>
        <w:rPr>
          <w:rFonts w:hint="default" w:eastAsia="仿宋_GB2312"/>
          <w:sz w:val="32"/>
          <w:shd w:val="clear" w:color="auto" w:fill="FFFFFF"/>
        </w:rPr>
      </w:pPr>
      <w:r>
        <w:rPr>
          <w:rFonts w:hint="eastAsia" w:eastAsia="仿宋_GB2312"/>
          <w:sz w:val="32"/>
          <w:shd w:val="clear" w:color="auto" w:fill="FFFFFF"/>
        </w:rPr>
        <w:t>因公出国（境）经费</w:t>
      </w:r>
      <w:r>
        <w:rPr>
          <w:rFonts w:hint="eastAsia" w:ascii="仿宋_GB2312" w:hAnsi="黑体" w:eastAsia="仿宋_GB2312"/>
          <w:sz w:val="32"/>
          <w:lang w:val="en-US" w:eastAsia="zh-CN"/>
        </w:rPr>
        <w:t>0</w:t>
      </w:r>
      <w:r>
        <w:rPr>
          <w:rFonts w:hint="eastAsia" w:ascii="仿宋_GB2312" w:hAnsi="黑体" w:eastAsia="仿宋_GB2312"/>
          <w:sz w:val="32"/>
        </w:rPr>
        <w:t>万元</w:t>
      </w:r>
      <w:r>
        <w:rPr>
          <w:rFonts w:hint="eastAsia" w:eastAsia="仿宋_GB2312"/>
          <w:sz w:val="32"/>
          <w:shd w:val="clear" w:color="auto" w:fill="FFFFFF"/>
        </w:rPr>
        <w:t>，较上年预算下降</w:t>
      </w:r>
      <w:r>
        <w:rPr>
          <w:rFonts w:hint="eastAsia" w:ascii="仿宋_GB2312" w:hAnsi="黑体" w:eastAsia="仿宋_GB2312"/>
          <w:sz w:val="32"/>
          <w:lang w:val="en-US" w:eastAsia="zh-CN"/>
        </w:rPr>
        <w:t>100</w:t>
      </w:r>
      <w:r>
        <w:rPr>
          <w:rFonts w:hint="default" w:eastAsia="仿宋_GB2312"/>
          <w:sz w:val="32"/>
          <w:shd w:val="clear" w:color="auto" w:fill="FFFFFF"/>
        </w:rPr>
        <w:t>%</w:t>
      </w:r>
      <w:r>
        <w:rPr>
          <w:rFonts w:hint="eastAsia" w:eastAsia="仿宋_GB2312"/>
          <w:sz w:val="32"/>
          <w:shd w:val="clear" w:color="auto" w:fill="FFFFFF"/>
        </w:rPr>
        <w:t>。</w:t>
      </w:r>
      <w:r>
        <w:rPr>
          <w:rFonts w:hint="eastAsia" w:eastAsia="仿宋_GB2312"/>
          <w:sz w:val="32"/>
        </w:rPr>
        <w:t>下降的</w:t>
      </w:r>
      <w:r>
        <w:rPr>
          <w:rFonts w:hint="eastAsia" w:eastAsia="仿宋_GB2312"/>
          <w:sz w:val="32"/>
          <w:shd w:val="clear" w:color="auto" w:fill="FFFFFF"/>
        </w:rPr>
        <w:t>主要原因包括：</w:t>
      </w:r>
      <w:r>
        <w:rPr>
          <w:rFonts w:hint="eastAsia" w:eastAsia="仿宋_GB2312"/>
          <w:sz w:val="32"/>
          <w:shd w:val="clear" w:color="auto" w:fill="FFFFFF"/>
          <w:lang w:eastAsia="zh-CN"/>
        </w:rPr>
        <w:t>减少因公出国境费用</w:t>
      </w:r>
      <w:r>
        <w:rPr>
          <w:rFonts w:hint="eastAsia" w:eastAsia="仿宋_GB2312"/>
          <w:sz w:val="32"/>
          <w:shd w:val="clear" w:color="auto" w:fill="FFFFFF"/>
        </w:rPr>
        <w:t>。公务用车购置及运行费</w:t>
      </w:r>
      <w:r>
        <w:rPr>
          <w:rFonts w:hint="eastAsia" w:ascii="仿宋_GB2312" w:hAnsi="黑体" w:eastAsia="仿宋_GB2312"/>
          <w:sz w:val="32"/>
          <w:lang w:val="en-US" w:eastAsia="zh-CN"/>
        </w:rPr>
        <w:t>办公设备购置</w:t>
      </w:r>
      <w:r>
        <w:rPr>
          <w:rFonts w:hint="eastAsia" w:ascii="仿宋_GB2312" w:hAnsi="黑体" w:eastAsia="仿宋_GB2312"/>
          <w:sz w:val="32"/>
        </w:rPr>
        <w:t>万元（其中，</w:t>
      </w:r>
      <w:r>
        <w:rPr>
          <w:rFonts w:hint="eastAsia" w:eastAsia="仿宋_GB2312"/>
          <w:sz w:val="32"/>
          <w:shd w:val="clear" w:color="auto" w:fill="FFFFFF"/>
        </w:rPr>
        <w:t>公务用车购置费</w:t>
      </w:r>
      <w:r>
        <w:rPr>
          <w:rFonts w:hint="eastAsia" w:ascii="仿宋_GB2312" w:hAnsi="黑体" w:eastAsia="仿宋_GB2312"/>
          <w:sz w:val="32"/>
          <w:lang w:val="en-US" w:eastAsia="zh-CN"/>
        </w:rPr>
        <w:t>0</w:t>
      </w:r>
      <w:r>
        <w:rPr>
          <w:rFonts w:hint="eastAsia" w:ascii="仿宋_GB2312" w:hAnsi="黑体" w:eastAsia="仿宋_GB2312"/>
          <w:sz w:val="32"/>
        </w:rPr>
        <w:t>万元</w:t>
      </w:r>
      <w:r>
        <w:rPr>
          <w:rFonts w:hint="eastAsia" w:eastAsia="仿宋_GB2312"/>
          <w:sz w:val="32"/>
          <w:shd w:val="clear" w:color="auto" w:fill="FFFFFF"/>
        </w:rPr>
        <w:t>，公务用车运行费</w:t>
      </w:r>
      <w:r>
        <w:rPr>
          <w:rFonts w:hint="eastAsia" w:ascii="仿宋_GB2312" w:hAnsi="黑体" w:eastAsia="仿宋_GB2312"/>
          <w:sz w:val="32"/>
          <w:lang w:val="en-US" w:eastAsia="zh-CN"/>
        </w:rPr>
        <w:t>办公设备购置</w:t>
      </w:r>
      <w:r>
        <w:rPr>
          <w:rFonts w:hint="eastAsia" w:ascii="仿宋_GB2312" w:hAnsi="黑体" w:eastAsia="仿宋_GB2312"/>
          <w:sz w:val="32"/>
        </w:rPr>
        <w:t>万元）</w:t>
      </w:r>
      <w:r>
        <w:rPr>
          <w:rFonts w:hint="eastAsia" w:eastAsia="仿宋_GB2312"/>
          <w:sz w:val="32"/>
          <w:shd w:val="clear" w:color="auto" w:fill="FFFFFF"/>
        </w:rPr>
        <w:t>，与上年预算持平。公务车保有量</w:t>
      </w:r>
      <w:r>
        <w:rPr>
          <w:rFonts w:hint="eastAsia" w:ascii="仿宋_GB2312" w:hAnsi="黑体" w:eastAsia="仿宋_GB2312"/>
          <w:sz w:val="32"/>
          <w:lang w:val="en-US" w:eastAsia="zh-CN"/>
        </w:rPr>
        <w:t>2</w:t>
      </w:r>
      <w:r>
        <w:rPr>
          <w:rFonts w:hint="eastAsia" w:ascii="仿宋_GB2312" w:hAnsi="黑体" w:eastAsia="仿宋_GB2312"/>
          <w:sz w:val="32"/>
        </w:rPr>
        <w:t>辆，计划购置</w:t>
      </w:r>
      <w:r>
        <w:rPr>
          <w:rFonts w:hint="eastAsia" w:ascii="仿宋_GB2312" w:hAnsi="黑体" w:eastAsia="仿宋_GB2312"/>
          <w:sz w:val="32"/>
          <w:lang w:val="en-US" w:eastAsia="zh-CN"/>
        </w:rPr>
        <w:t>0</w:t>
      </w:r>
      <w:r>
        <w:rPr>
          <w:rFonts w:hint="eastAsia" w:ascii="仿宋_GB2312" w:hAnsi="黑体" w:eastAsia="仿宋_GB2312"/>
          <w:sz w:val="32"/>
        </w:rPr>
        <w:t>辆</w:t>
      </w:r>
      <w:r>
        <w:rPr>
          <w:rFonts w:hint="eastAsia" w:eastAsia="仿宋_GB2312"/>
          <w:sz w:val="32"/>
          <w:shd w:val="clear" w:color="auto" w:fill="FFFFFF"/>
        </w:rPr>
        <w:t>；</w:t>
      </w:r>
      <w:r>
        <w:rPr>
          <w:rFonts w:hint="eastAsia" w:ascii="仿宋_GB2312" w:hAnsi="黑体" w:eastAsia="仿宋_GB2312"/>
          <w:sz w:val="32"/>
        </w:rPr>
        <w:t>公务接待费</w:t>
      </w:r>
      <w:r>
        <w:rPr>
          <w:rFonts w:hint="eastAsia" w:ascii="仿宋_GB2312" w:hAnsi="黑体" w:eastAsia="仿宋_GB2312"/>
          <w:sz w:val="32"/>
          <w:lang w:val="en-US" w:eastAsia="zh-CN"/>
        </w:rPr>
        <w:t>0</w:t>
      </w:r>
      <w:r>
        <w:rPr>
          <w:rFonts w:hint="eastAsia" w:eastAsia="仿宋_GB2312"/>
          <w:sz w:val="32"/>
          <w:shd w:val="clear" w:color="auto" w:fill="FFFFFF"/>
        </w:rPr>
        <w:t>万元，与上年预算持平。</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rPr>
        <w:t>（二）</w:t>
      </w: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年政府性基金预算“三公”经费预算数为</w:t>
      </w:r>
      <w:r>
        <w:rPr>
          <w:rFonts w:hint="eastAsia" w:ascii="仿宋_GB2312" w:hAnsi="黑体" w:eastAsia="仿宋_GB2312"/>
          <w:sz w:val="32"/>
          <w:lang w:val="en-US" w:eastAsia="zh-CN"/>
        </w:rPr>
        <w:t>0</w:t>
      </w:r>
      <w:r>
        <w:rPr>
          <w:rFonts w:hint="eastAsia" w:ascii="仿宋_GB2312" w:hAnsi="黑体" w:eastAsia="仿宋_GB2312"/>
          <w:sz w:val="32"/>
        </w:rPr>
        <w:t>万元，其中：</w:t>
      </w:r>
    </w:p>
    <w:p>
      <w:pPr>
        <w:spacing w:beforeLines="0" w:afterLines="0"/>
        <w:rPr>
          <w:rFonts w:hint="default" w:eastAsia="仿宋_GB2312"/>
          <w:sz w:val="32"/>
          <w:shd w:val="clear" w:color="auto" w:fill="FFFFFF"/>
        </w:rPr>
      </w:pPr>
      <w:r>
        <w:rPr>
          <w:rFonts w:hint="default" w:eastAsia="仿宋_GB2312"/>
          <w:sz w:val="32"/>
          <w:shd w:val="clear" w:color="auto" w:fill="FFFFFF"/>
        </w:rPr>
        <w:t xml:space="preserve">    </w:t>
      </w:r>
      <w:r>
        <w:rPr>
          <w:rFonts w:hint="eastAsia" w:eastAsia="仿宋_GB2312"/>
          <w:sz w:val="32"/>
          <w:shd w:val="clear" w:color="auto" w:fill="FFFFFF"/>
        </w:rPr>
        <w:t>因公出国（境）经费</w:t>
      </w:r>
      <w:r>
        <w:rPr>
          <w:rFonts w:hint="eastAsia" w:ascii="仿宋_GB2312" w:hAnsi="黑体" w:eastAsia="仿宋_GB2312"/>
          <w:sz w:val="32"/>
          <w:lang w:val="en-US" w:eastAsia="zh-CN"/>
        </w:rPr>
        <w:t>0</w:t>
      </w:r>
      <w:r>
        <w:rPr>
          <w:rFonts w:hint="eastAsia" w:ascii="仿宋_GB2312" w:hAnsi="黑体" w:eastAsia="仿宋_GB2312"/>
          <w:sz w:val="32"/>
        </w:rPr>
        <w:t>万元</w:t>
      </w:r>
      <w:r>
        <w:rPr>
          <w:rFonts w:hint="eastAsia" w:eastAsia="仿宋_GB2312"/>
          <w:sz w:val="32"/>
          <w:shd w:val="clear" w:color="auto" w:fill="FFFFFF"/>
        </w:rPr>
        <w:t>，与上年预算持平。公务用车购置及运行费</w:t>
      </w:r>
      <w:r>
        <w:rPr>
          <w:rFonts w:hint="eastAsia" w:ascii="仿宋_GB2312" w:hAnsi="黑体" w:eastAsia="仿宋_GB2312"/>
          <w:sz w:val="32"/>
          <w:lang w:val="en-US" w:eastAsia="zh-CN"/>
        </w:rPr>
        <w:t>0</w:t>
      </w:r>
      <w:r>
        <w:rPr>
          <w:rFonts w:hint="eastAsia" w:ascii="仿宋_GB2312" w:hAnsi="黑体" w:eastAsia="仿宋_GB2312"/>
          <w:sz w:val="32"/>
        </w:rPr>
        <w:t>万元（其中，</w:t>
      </w:r>
      <w:r>
        <w:rPr>
          <w:rFonts w:hint="eastAsia" w:eastAsia="仿宋_GB2312"/>
          <w:sz w:val="32"/>
          <w:shd w:val="clear" w:color="auto" w:fill="FFFFFF"/>
        </w:rPr>
        <w:t>公务用车购置费</w:t>
      </w:r>
      <w:r>
        <w:rPr>
          <w:rFonts w:hint="eastAsia" w:ascii="仿宋_GB2312" w:hAnsi="黑体" w:eastAsia="仿宋_GB2312"/>
          <w:sz w:val="32"/>
          <w:lang w:val="en-US" w:eastAsia="zh-CN"/>
        </w:rPr>
        <w:t>0</w:t>
      </w:r>
      <w:r>
        <w:rPr>
          <w:rFonts w:hint="eastAsia" w:ascii="仿宋_GB2312" w:hAnsi="黑体" w:eastAsia="仿宋_GB2312"/>
          <w:sz w:val="32"/>
        </w:rPr>
        <w:t>万元</w:t>
      </w:r>
      <w:r>
        <w:rPr>
          <w:rFonts w:hint="eastAsia" w:eastAsia="仿宋_GB2312"/>
          <w:sz w:val="32"/>
          <w:shd w:val="clear" w:color="auto" w:fill="FFFFFF"/>
        </w:rPr>
        <w:t>，公务用车运行费</w:t>
      </w:r>
      <w:r>
        <w:rPr>
          <w:rFonts w:hint="eastAsia" w:ascii="仿宋_GB2312" w:hAnsi="黑体" w:eastAsia="仿宋_GB2312"/>
          <w:sz w:val="32"/>
          <w:lang w:val="en-US" w:eastAsia="zh-CN"/>
        </w:rPr>
        <w:t>0</w:t>
      </w:r>
      <w:r>
        <w:rPr>
          <w:rFonts w:hint="eastAsia" w:ascii="仿宋_GB2312" w:hAnsi="黑体" w:eastAsia="仿宋_GB2312"/>
          <w:sz w:val="32"/>
        </w:rPr>
        <w:t>万元）</w:t>
      </w:r>
      <w:r>
        <w:rPr>
          <w:rFonts w:hint="eastAsia" w:eastAsia="仿宋_GB2312"/>
          <w:sz w:val="32"/>
          <w:shd w:val="clear" w:color="auto" w:fill="FFFFFF"/>
        </w:rPr>
        <w:t>，与上年预算持平。公务车保有量</w:t>
      </w:r>
      <w:r>
        <w:rPr>
          <w:rFonts w:hint="eastAsia" w:ascii="仿宋_GB2312" w:hAnsi="黑体" w:eastAsia="仿宋_GB2312"/>
          <w:sz w:val="32"/>
          <w:lang w:val="en-US" w:eastAsia="zh-CN"/>
        </w:rPr>
        <w:t>0</w:t>
      </w:r>
      <w:r>
        <w:rPr>
          <w:rFonts w:hint="eastAsia" w:ascii="仿宋_GB2312" w:hAnsi="黑体" w:eastAsia="仿宋_GB2312"/>
          <w:sz w:val="32"/>
        </w:rPr>
        <w:t>辆，计划购置</w:t>
      </w:r>
      <w:r>
        <w:rPr>
          <w:rFonts w:hint="eastAsia" w:ascii="仿宋_GB2312" w:hAnsi="黑体" w:eastAsia="仿宋_GB2312"/>
          <w:sz w:val="32"/>
          <w:lang w:val="en-US" w:eastAsia="zh-CN"/>
        </w:rPr>
        <w:t>0</w:t>
      </w:r>
      <w:r>
        <w:rPr>
          <w:rFonts w:hint="eastAsia" w:ascii="仿宋_GB2312" w:hAnsi="黑体" w:eastAsia="仿宋_GB2312"/>
          <w:sz w:val="32"/>
        </w:rPr>
        <w:t>辆</w:t>
      </w:r>
      <w:r>
        <w:rPr>
          <w:rFonts w:hint="eastAsia" w:eastAsia="仿宋_GB2312"/>
          <w:sz w:val="32"/>
          <w:shd w:val="clear" w:color="auto" w:fill="FFFFFF"/>
        </w:rPr>
        <w:t>。</w:t>
      </w:r>
      <w:r>
        <w:rPr>
          <w:rFonts w:hint="eastAsia" w:ascii="仿宋_GB2312" w:hAnsi="黑体" w:eastAsia="仿宋_GB2312"/>
          <w:sz w:val="32"/>
        </w:rPr>
        <w:t>公务接待费</w:t>
      </w:r>
      <w:r>
        <w:rPr>
          <w:rFonts w:hint="eastAsia" w:ascii="仿宋_GB2312" w:hAnsi="黑体" w:eastAsia="仿宋_GB2312"/>
          <w:sz w:val="32"/>
          <w:lang w:val="en-US" w:eastAsia="zh-CN"/>
        </w:rPr>
        <w:t>0</w:t>
      </w:r>
      <w:r>
        <w:rPr>
          <w:rFonts w:hint="eastAsia" w:eastAsia="仿宋_GB2312"/>
          <w:sz w:val="32"/>
          <w:shd w:val="clear" w:color="auto" w:fill="FFFFFF"/>
        </w:rPr>
        <w:t>万元，与上年预算持平。</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五、关于</w:t>
      </w:r>
      <w:r>
        <w:rPr>
          <w:rFonts w:hint="eastAsia" w:ascii="黑体" w:hAnsi="黑体" w:eastAsia="黑体"/>
          <w:sz w:val="32"/>
          <w:shd w:val="clear" w:color="auto" w:fill="FFFFFF"/>
          <w:lang w:eastAsia="zh-CN"/>
        </w:rPr>
        <w:t>海口市人力资源和社会保障局本级</w:t>
      </w:r>
      <w:r>
        <w:rPr>
          <w:rFonts w:hint="eastAsia" w:ascii="黑体" w:hAnsi="黑体" w:eastAsia="黑体"/>
          <w:sz w:val="32"/>
          <w:shd w:val="clear" w:color="auto" w:fill="FFFFFF"/>
          <w:lang w:val="en-US" w:eastAsia="zh-CN"/>
        </w:rPr>
        <w:t>2024</w:t>
      </w:r>
      <w:r>
        <w:rPr>
          <w:rFonts w:hint="eastAsia" w:ascii="黑体" w:hAnsi="黑体" w:eastAsia="黑体"/>
          <w:sz w:val="32"/>
          <w:shd w:val="clear" w:color="auto" w:fill="FFFFFF"/>
        </w:rPr>
        <w:t>年政府性基金预算当年拨款情况说明</w:t>
      </w:r>
    </w:p>
    <w:p>
      <w:pPr>
        <w:spacing w:beforeLines="0" w:afterLines="0"/>
        <w:ind w:firstLine="640"/>
        <w:jc w:val="left"/>
        <w:rPr>
          <w:rFonts w:hint="eastAsia" w:ascii="楷体" w:hAnsi="楷体" w:eastAsia="楷体"/>
          <w:sz w:val="32"/>
        </w:rPr>
      </w:pPr>
      <w:r>
        <w:rPr>
          <w:rFonts w:hint="eastAsia" w:ascii="楷体" w:hAnsi="楷体" w:eastAsia="楷体"/>
          <w:sz w:val="32"/>
        </w:rPr>
        <w:t>（一）政府性基金预算当年规模变化情况</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年政府性基金预算当年拨款</w:t>
      </w:r>
      <w:r>
        <w:rPr>
          <w:rFonts w:hint="eastAsia" w:ascii="仿宋_GB2312" w:hAnsi="黑体" w:eastAsia="仿宋_GB2312"/>
          <w:sz w:val="32"/>
          <w:lang w:val="en-US" w:eastAsia="zh-CN"/>
        </w:rPr>
        <w:t>0</w:t>
      </w:r>
      <w:r>
        <w:rPr>
          <w:rFonts w:hint="eastAsia" w:ascii="仿宋_GB2312" w:hAnsi="黑体" w:eastAsia="仿宋_GB2312"/>
          <w:sz w:val="32"/>
        </w:rPr>
        <w:t>万元，比上年预算数持平。</w:t>
      </w:r>
    </w:p>
    <w:p>
      <w:pPr>
        <w:numPr>
          <w:ilvl w:val="0"/>
          <w:numId w:val="2"/>
        </w:numPr>
        <w:spacing w:beforeLines="0" w:afterLines="0"/>
        <w:ind w:firstLine="640"/>
        <w:jc w:val="left"/>
        <w:rPr>
          <w:rFonts w:hint="eastAsia" w:ascii="楷体" w:hAnsi="楷体" w:eastAsia="楷体"/>
          <w:sz w:val="32"/>
        </w:rPr>
      </w:pPr>
      <w:r>
        <w:rPr>
          <w:rFonts w:hint="eastAsia" w:ascii="楷体" w:hAnsi="楷体" w:eastAsia="楷体"/>
          <w:sz w:val="32"/>
        </w:rPr>
        <w:t>政府性基金预算当年拨款结构情况</w:t>
      </w:r>
    </w:p>
    <w:p>
      <w:pPr>
        <w:numPr>
          <w:ilvl w:val="0"/>
          <w:numId w:val="0"/>
        </w:numPr>
        <w:spacing w:beforeLines="0" w:afterLines="0"/>
        <w:jc w:val="left"/>
        <w:rPr>
          <w:rFonts w:hint="eastAsia" w:ascii="楷体" w:hAnsi="楷体" w:eastAsia="仿宋_GB2312"/>
          <w:sz w:val="32"/>
          <w:lang w:val="en-US" w:eastAsia="zh-CN"/>
        </w:rPr>
      </w:pPr>
      <w:r>
        <w:rPr>
          <w:rFonts w:hint="eastAsia" w:ascii="楷体" w:hAnsi="楷体" w:eastAsia="楷体"/>
          <w:sz w:val="32"/>
          <w:lang w:val="en-US" w:eastAsia="zh-CN"/>
        </w:rPr>
        <w:t xml:space="preserve">    </w:t>
      </w: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w:t>
      </w:r>
      <w:r>
        <w:rPr>
          <w:rFonts w:hint="eastAsia" w:ascii="仿宋_GB2312" w:hAnsi="黑体" w:eastAsia="仿宋_GB2312"/>
          <w:sz w:val="32"/>
          <w:lang w:eastAsia="zh-CN"/>
        </w:rPr>
        <w:t>无</w:t>
      </w:r>
      <w:r>
        <w:rPr>
          <w:rFonts w:hint="eastAsia" w:ascii="仿宋_GB2312" w:hAnsi="黑体" w:eastAsia="仿宋_GB2312"/>
          <w:sz w:val="32"/>
        </w:rPr>
        <w:t>政府性基金预算</w:t>
      </w:r>
      <w:r>
        <w:rPr>
          <w:rFonts w:hint="eastAsia" w:ascii="仿宋_GB2312" w:hAnsi="黑体" w:eastAsia="仿宋_GB2312"/>
          <w:sz w:val="32"/>
          <w:lang w:eastAsia="zh-CN"/>
        </w:rPr>
        <w:t>。</w:t>
      </w:r>
    </w:p>
    <w:p>
      <w:pPr>
        <w:spacing w:beforeLines="0" w:afterLines="0"/>
        <w:ind w:firstLine="640"/>
        <w:jc w:val="left"/>
        <w:rPr>
          <w:rFonts w:hint="eastAsia" w:ascii="楷体" w:hAnsi="楷体" w:eastAsia="楷体"/>
          <w:sz w:val="32"/>
        </w:rPr>
      </w:pPr>
      <w:r>
        <w:rPr>
          <w:rFonts w:hint="eastAsia" w:ascii="楷体" w:hAnsi="楷体" w:eastAsia="楷体"/>
          <w:sz w:val="32"/>
        </w:rPr>
        <w:t>（三）政府性基金预算当年拨款具体使用情况</w:t>
      </w:r>
    </w:p>
    <w:p>
      <w:pPr>
        <w:spacing w:beforeLines="0" w:afterLines="0"/>
        <w:ind w:firstLine="640" w:firstLineChars="200"/>
        <w:rPr>
          <w:rFonts w:hint="eastAsia" w:ascii="仿宋_GB2312" w:hAnsi="黑体" w:eastAsia="仿宋_GB2312"/>
          <w:sz w:val="32"/>
          <w:lang w:eastAsia="zh-CN"/>
        </w:rPr>
      </w:pP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w:t>
      </w:r>
      <w:r>
        <w:rPr>
          <w:rFonts w:hint="eastAsia" w:ascii="仿宋_GB2312" w:hAnsi="黑体" w:eastAsia="仿宋_GB2312"/>
          <w:sz w:val="32"/>
          <w:lang w:eastAsia="zh-CN"/>
        </w:rPr>
        <w:t>无</w:t>
      </w:r>
      <w:r>
        <w:rPr>
          <w:rFonts w:hint="eastAsia" w:ascii="仿宋_GB2312" w:hAnsi="黑体" w:eastAsia="仿宋_GB2312"/>
          <w:sz w:val="32"/>
        </w:rPr>
        <w:t>政府性基金预算</w:t>
      </w:r>
      <w:r>
        <w:rPr>
          <w:rFonts w:hint="eastAsia" w:ascii="仿宋_GB2312" w:hAnsi="黑体" w:eastAsia="仿宋_GB2312"/>
          <w:sz w:val="32"/>
          <w:lang w:eastAsia="zh-CN"/>
        </w:rPr>
        <w:t>。</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六、关于</w:t>
      </w:r>
      <w:r>
        <w:rPr>
          <w:rFonts w:hint="eastAsia" w:ascii="黑体" w:hAnsi="黑体" w:eastAsia="黑体"/>
          <w:sz w:val="32"/>
          <w:shd w:val="clear" w:color="auto" w:fill="FFFFFF"/>
          <w:lang w:eastAsia="zh-CN"/>
        </w:rPr>
        <w:t>海口市人力资源和社会保障局本级</w:t>
      </w:r>
      <w:r>
        <w:rPr>
          <w:rFonts w:hint="eastAsia" w:ascii="黑体" w:hAnsi="黑体" w:eastAsia="黑体"/>
          <w:sz w:val="32"/>
          <w:shd w:val="clear" w:color="auto" w:fill="FFFFFF"/>
          <w:lang w:val="en-US" w:eastAsia="zh-CN"/>
        </w:rPr>
        <w:t>2024</w:t>
      </w:r>
      <w:r>
        <w:rPr>
          <w:rFonts w:hint="eastAsia" w:ascii="黑体" w:hAnsi="黑体" w:eastAsia="黑体"/>
          <w:sz w:val="32"/>
          <w:shd w:val="clear" w:color="auto" w:fill="FFFFFF"/>
        </w:rPr>
        <w:t>年收支预算情况的总体说明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rPr>
        <w:t>按照综合预算原则，</w:t>
      </w:r>
      <w:r>
        <w:rPr>
          <w:rFonts w:hint="eastAsia" w:ascii="仿宋_GB2312" w:hAnsi="黑体" w:eastAsia="仿宋_GB2312"/>
          <w:sz w:val="32"/>
          <w:lang w:eastAsia="zh-CN"/>
        </w:rPr>
        <w:t>海口市人力资源和社会保障局本级</w:t>
      </w:r>
      <w:r>
        <w:rPr>
          <w:rFonts w:hint="eastAsia" w:ascii="仿宋_GB2312" w:hAnsi="黑体" w:eastAsia="仿宋_GB2312"/>
          <w:sz w:val="32"/>
        </w:rPr>
        <w:t>所有收入和支出均纳入部门预算管理。收入包括：一般公共预算收入；支出包括：社会保障和就业支出</w:t>
      </w:r>
      <w:r>
        <w:rPr>
          <w:rFonts w:hint="eastAsia" w:ascii="仿宋_GB2312" w:hAnsi="黑体" w:eastAsia="仿宋_GB2312"/>
          <w:sz w:val="32"/>
          <w:lang w:eastAsia="zh-CN"/>
        </w:rPr>
        <w:t>、卫生健康支出、住房保障支出、其他支出</w:t>
      </w:r>
      <w:r>
        <w:rPr>
          <w:rFonts w:hint="eastAsia" w:ascii="仿宋_GB2312" w:hAnsi="黑体" w:eastAsia="仿宋_GB2312"/>
          <w:sz w:val="32"/>
        </w:rPr>
        <w:t>。</w:t>
      </w: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年收支总预算1,828.54万元。</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七、关于</w:t>
      </w:r>
      <w:r>
        <w:rPr>
          <w:rFonts w:hint="eastAsia" w:ascii="黑体" w:hAnsi="黑体" w:eastAsia="黑体"/>
          <w:sz w:val="32"/>
          <w:shd w:val="clear" w:color="auto" w:fill="FFFFFF"/>
          <w:lang w:eastAsia="zh-CN"/>
        </w:rPr>
        <w:t>海口市人力资源和社会保障局本级</w:t>
      </w:r>
      <w:r>
        <w:rPr>
          <w:rFonts w:hint="eastAsia" w:ascii="黑体" w:hAnsi="黑体" w:eastAsia="黑体"/>
          <w:sz w:val="32"/>
          <w:shd w:val="clear" w:color="auto" w:fill="FFFFFF"/>
          <w:lang w:val="en-US" w:eastAsia="zh-CN"/>
        </w:rPr>
        <w:t>2024</w:t>
      </w:r>
      <w:r>
        <w:rPr>
          <w:rFonts w:hint="eastAsia" w:ascii="黑体" w:hAnsi="黑体" w:eastAsia="黑体"/>
          <w:sz w:val="32"/>
          <w:shd w:val="clear" w:color="auto" w:fill="FFFFFF"/>
        </w:rPr>
        <w:t>年收入预算情况说明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年收入预算1,908.54万元，其中：上年结转</w:t>
      </w:r>
      <w:r>
        <w:rPr>
          <w:rFonts w:hint="eastAsia" w:ascii="仿宋_GB2312" w:hAnsi="黑体" w:eastAsia="仿宋_GB2312"/>
          <w:sz w:val="32"/>
          <w:lang w:val="en-US" w:eastAsia="zh-CN"/>
        </w:rPr>
        <w:t>0</w:t>
      </w:r>
      <w:r>
        <w:rPr>
          <w:rFonts w:hint="eastAsia" w:ascii="仿宋_GB2312" w:hAnsi="黑体" w:eastAsia="仿宋_GB2312"/>
          <w:sz w:val="32"/>
        </w:rPr>
        <w:t>万元，占</w:t>
      </w:r>
      <w:r>
        <w:rPr>
          <w:rFonts w:hint="eastAsia" w:ascii="仿宋_GB2312" w:hAnsi="黑体" w:eastAsia="仿宋_GB2312"/>
          <w:sz w:val="32"/>
          <w:lang w:val="en-US" w:eastAsia="zh-CN"/>
        </w:rPr>
        <w:t>0</w:t>
      </w:r>
      <w:r>
        <w:rPr>
          <w:rFonts w:hint="eastAsia" w:ascii="仿宋_GB2312" w:hAnsi="黑体" w:eastAsia="仿宋_GB2312"/>
          <w:sz w:val="32"/>
        </w:rPr>
        <w:t>%；一般公共预算拨款收入1,828.54万元，占</w:t>
      </w:r>
      <w:r>
        <w:rPr>
          <w:rFonts w:hint="eastAsia" w:ascii="仿宋_GB2312" w:hAnsi="黑体" w:eastAsia="仿宋_GB2312"/>
          <w:sz w:val="32"/>
          <w:lang w:val="en-US" w:eastAsia="zh-CN"/>
        </w:rPr>
        <w:t>95.81</w:t>
      </w:r>
      <w:r>
        <w:rPr>
          <w:rFonts w:hint="eastAsia" w:ascii="仿宋_GB2312" w:hAnsi="黑体" w:eastAsia="仿宋_GB2312"/>
          <w:sz w:val="32"/>
        </w:rPr>
        <w:t>%；政府性基金收入</w:t>
      </w:r>
      <w:r>
        <w:rPr>
          <w:rFonts w:hint="eastAsia" w:ascii="仿宋_GB2312" w:hAnsi="黑体" w:eastAsia="仿宋_GB2312"/>
          <w:sz w:val="32"/>
          <w:lang w:val="en-US" w:eastAsia="zh-CN"/>
        </w:rPr>
        <w:t>0</w:t>
      </w:r>
      <w:r>
        <w:rPr>
          <w:rFonts w:hint="eastAsia" w:ascii="仿宋_GB2312" w:hAnsi="黑体" w:eastAsia="仿宋_GB2312"/>
          <w:sz w:val="32"/>
        </w:rPr>
        <w:t>万元，占</w:t>
      </w:r>
      <w:r>
        <w:rPr>
          <w:rFonts w:hint="eastAsia" w:ascii="仿宋_GB2312" w:hAnsi="黑体" w:eastAsia="仿宋_GB2312"/>
          <w:sz w:val="32"/>
          <w:lang w:val="en-US" w:eastAsia="zh-CN"/>
        </w:rPr>
        <w:t>0</w:t>
      </w:r>
      <w:r>
        <w:rPr>
          <w:rFonts w:hint="eastAsia" w:ascii="仿宋_GB2312" w:hAnsi="黑体" w:eastAsia="仿宋_GB2312"/>
          <w:sz w:val="32"/>
        </w:rPr>
        <w:t>%；其他收入</w:t>
      </w:r>
      <w:r>
        <w:rPr>
          <w:rFonts w:hint="eastAsia" w:ascii="仿宋_GB2312" w:hAnsi="黑体" w:eastAsia="仿宋_GB2312"/>
          <w:sz w:val="32"/>
          <w:lang w:val="en-US" w:eastAsia="zh-CN"/>
        </w:rPr>
        <w:t>80</w:t>
      </w:r>
      <w:r>
        <w:rPr>
          <w:rFonts w:hint="eastAsia" w:ascii="仿宋_GB2312" w:hAnsi="黑体" w:eastAsia="仿宋_GB2312"/>
          <w:sz w:val="32"/>
        </w:rPr>
        <w:t>万元，占</w:t>
      </w:r>
      <w:r>
        <w:rPr>
          <w:rFonts w:hint="eastAsia" w:ascii="仿宋_GB2312" w:hAnsi="黑体" w:eastAsia="仿宋_GB2312"/>
          <w:sz w:val="32"/>
          <w:lang w:val="en-US" w:eastAsia="zh-CN"/>
        </w:rPr>
        <w:t>4.19</w:t>
      </w:r>
      <w:r>
        <w:rPr>
          <w:rFonts w:hint="eastAsia" w:ascii="仿宋_GB2312" w:hAnsi="黑体" w:eastAsia="仿宋_GB2312"/>
          <w:sz w:val="32"/>
        </w:rPr>
        <w:t>%。</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八、关于</w:t>
      </w:r>
      <w:r>
        <w:rPr>
          <w:rFonts w:hint="eastAsia" w:ascii="黑体" w:hAnsi="黑体" w:eastAsia="黑体"/>
          <w:sz w:val="32"/>
          <w:shd w:val="clear" w:color="auto" w:fill="FFFFFF"/>
          <w:lang w:eastAsia="zh-CN"/>
        </w:rPr>
        <w:t>海口市人力资源和社会保障局本级</w:t>
      </w:r>
      <w:r>
        <w:rPr>
          <w:rFonts w:hint="eastAsia" w:ascii="黑体" w:hAnsi="黑体" w:eastAsia="黑体"/>
          <w:sz w:val="32"/>
          <w:shd w:val="clear" w:color="auto" w:fill="FFFFFF"/>
          <w:lang w:val="en-US" w:eastAsia="zh-CN"/>
        </w:rPr>
        <w:t>2024</w:t>
      </w:r>
      <w:r>
        <w:rPr>
          <w:rFonts w:hint="eastAsia" w:ascii="黑体" w:hAnsi="黑体" w:eastAsia="黑体"/>
          <w:sz w:val="32"/>
          <w:shd w:val="clear" w:color="auto" w:fill="FFFFFF"/>
        </w:rPr>
        <w:t>年支出预算情况说明</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2024</w:t>
      </w:r>
      <w:r>
        <w:rPr>
          <w:rFonts w:hint="eastAsia" w:ascii="仿宋_GB2312" w:hAnsi="黑体" w:eastAsia="仿宋_GB2312"/>
          <w:sz w:val="32"/>
        </w:rPr>
        <w:t>年支出预算1,908.54万元，其中：基本支出</w:t>
      </w:r>
      <w:r>
        <w:rPr>
          <w:rFonts w:hint="eastAsia" w:ascii="仿宋_GB2312" w:hAnsi="黑体" w:eastAsia="仿宋_GB2312"/>
          <w:sz w:val="32"/>
          <w:lang w:val="en-US" w:eastAsia="zh-CN"/>
        </w:rPr>
        <w:t>1428.76</w:t>
      </w:r>
      <w:r>
        <w:rPr>
          <w:rFonts w:hint="eastAsia" w:ascii="仿宋_GB2312" w:hAnsi="黑体" w:eastAsia="仿宋_GB2312"/>
          <w:sz w:val="32"/>
        </w:rPr>
        <w:t>万元，占</w:t>
      </w:r>
      <w:r>
        <w:rPr>
          <w:rFonts w:hint="eastAsia" w:ascii="仿宋_GB2312" w:hAnsi="黑体" w:eastAsia="仿宋_GB2312"/>
          <w:sz w:val="32"/>
          <w:lang w:val="en-US" w:eastAsia="zh-CN"/>
        </w:rPr>
        <w:t>74.9</w:t>
      </w:r>
      <w:r>
        <w:rPr>
          <w:rFonts w:hint="eastAsia" w:ascii="仿宋_GB2312" w:hAnsi="黑体" w:eastAsia="仿宋_GB2312"/>
          <w:sz w:val="32"/>
        </w:rPr>
        <w:t>%；项目支出479.78万元，占</w:t>
      </w:r>
      <w:r>
        <w:rPr>
          <w:rFonts w:hint="eastAsia" w:ascii="仿宋_GB2312" w:hAnsi="黑体" w:eastAsia="仿宋_GB2312"/>
          <w:sz w:val="32"/>
          <w:lang w:val="en-US" w:eastAsia="zh-CN"/>
        </w:rPr>
        <w:t>25.1</w:t>
      </w:r>
      <w:r>
        <w:rPr>
          <w:rFonts w:hint="eastAsia" w:ascii="仿宋_GB2312" w:hAnsi="黑体" w:eastAsia="仿宋_GB2312"/>
          <w:sz w:val="32"/>
        </w:rPr>
        <w:t>%。</w:t>
      </w:r>
    </w:p>
    <w:p>
      <w:pPr>
        <w:spacing w:beforeLines="0" w:afterLines="0"/>
        <w:ind w:firstLine="640" w:firstLineChars="200"/>
        <w:rPr>
          <w:rFonts w:hint="eastAsia" w:ascii="黑体" w:hAnsi="黑体" w:eastAsia="黑体"/>
          <w:sz w:val="32"/>
          <w:shd w:val="clear" w:color="auto" w:fill="FFFFFF"/>
        </w:rPr>
      </w:pPr>
      <w:r>
        <w:rPr>
          <w:rFonts w:hint="eastAsia" w:ascii="黑体" w:hAnsi="黑体" w:eastAsia="黑体"/>
          <w:sz w:val="32"/>
          <w:shd w:val="clear" w:color="auto" w:fill="FFFFFF"/>
        </w:rPr>
        <w:t>九、其他重要事项的情况说明</w:t>
      </w:r>
    </w:p>
    <w:p>
      <w:pPr>
        <w:spacing w:beforeLines="0" w:afterLines="0"/>
        <w:ind w:firstLine="640" w:firstLineChars="200"/>
        <w:rPr>
          <w:rFonts w:hint="eastAsia" w:ascii="楷体" w:hAnsi="楷体" w:eastAsia="楷体"/>
          <w:sz w:val="32"/>
        </w:rPr>
      </w:pPr>
      <w:r>
        <w:rPr>
          <w:rFonts w:hint="eastAsia" w:ascii="楷体" w:hAnsi="楷体" w:eastAsia="楷体"/>
          <w:sz w:val="32"/>
        </w:rPr>
        <w:t>（一）机关运行经费</w:t>
      </w:r>
      <w:r>
        <w:rPr>
          <w:rFonts w:hint="eastAsia" w:ascii="楷体" w:hAnsi="楷体" w:eastAsia="楷体"/>
          <w:sz w:val="32"/>
          <w:lang w:val="en-US" w:eastAsia="zh-CN"/>
        </w:rPr>
        <w:t>（</w:t>
      </w:r>
      <w:r>
        <w:rPr>
          <w:rFonts w:hint="eastAsia" w:ascii="楷体" w:hAnsi="楷体" w:eastAsia="楷体"/>
          <w:sz w:val="32"/>
        </w:rPr>
        <w:t>行政单位</w:t>
      </w:r>
      <w:r>
        <w:rPr>
          <w:rFonts w:hint="eastAsia" w:ascii="楷体" w:hAnsi="楷体" w:eastAsia="楷体"/>
          <w:sz w:val="32"/>
          <w:lang w:eastAsia="zh-CN"/>
        </w:rPr>
        <w:t>、</w:t>
      </w:r>
      <w:r>
        <w:rPr>
          <w:rFonts w:hint="eastAsia" w:ascii="楷体" w:hAnsi="楷体" w:eastAsia="楷体"/>
          <w:sz w:val="32"/>
        </w:rPr>
        <w:t>参照公务员法管理的事业单位</w:t>
      </w:r>
      <w:r>
        <w:rPr>
          <w:rFonts w:hint="eastAsia" w:ascii="楷体" w:hAnsi="楷体" w:eastAsia="楷体"/>
          <w:sz w:val="32"/>
          <w:lang w:eastAsia="zh-CN"/>
        </w:rPr>
        <w:t>需说明，其他单位不需要说明</w:t>
      </w:r>
      <w:r>
        <w:rPr>
          <w:rFonts w:hint="eastAsia" w:ascii="楷体" w:hAnsi="楷体" w:eastAsia="楷体"/>
          <w:sz w:val="32"/>
          <w:lang w:val="en-US" w:eastAsia="zh-CN"/>
        </w:rPr>
        <w:t>）</w:t>
      </w:r>
    </w:p>
    <w:p>
      <w:pPr>
        <w:spacing w:beforeLines="0" w:afterLines="0"/>
        <w:ind w:firstLine="640"/>
        <w:rPr>
          <w:rFonts w:hint="eastAsia" w:ascii="仿宋_GB2312" w:hAnsi="黑体" w:eastAsia="仿宋_GB2312"/>
          <w:sz w:val="32"/>
        </w:rPr>
      </w:pPr>
      <w:r>
        <w:rPr>
          <w:rFonts w:hint="eastAsia" w:ascii="仿宋_GB2312" w:hAnsi="黑体" w:eastAsia="仿宋_GB2312"/>
          <w:sz w:val="32"/>
          <w:lang w:val="en-US" w:eastAsia="zh-CN"/>
        </w:rPr>
        <w:t>2024</w:t>
      </w:r>
      <w:r>
        <w:rPr>
          <w:rFonts w:hint="eastAsia" w:ascii="仿宋_GB2312" w:hAnsi="黑体" w:eastAsia="仿宋_GB2312"/>
          <w:sz w:val="32"/>
        </w:rPr>
        <w:t>年</w:t>
      </w:r>
      <w:r>
        <w:rPr>
          <w:rFonts w:hint="eastAsia" w:ascii="仿宋_GB2312" w:hAnsi="黑体" w:eastAsia="仿宋_GB2312"/>
          <w:sz w:val="32"/>
          <w:lang w:eastAsia="zh-CN"/>
        </w:rPr>
        <w:t>海口市人力资源和社会保障局本级</w:t>
      </w:r>
      <w:r>
        <w:rPr>
          <w:rFonts w:hint="eastAsia" w:ascii="仿宋_GB2312" w:hAnsi="黑体" w:eastAsia="仿宋_GB2312"/>
          <w:sz w:val="32"/>
        </w:rPr>
        <w:t>的</w:t>
      </w:r>
      <w:r>
        <w:rPr>
          <w:rFonts w:hint="eastAsia" w:ascii="仿宋_GB2312" w:hAnsi="黑体" w:eastAsia="仿宋_GB2312"/>
          <w:sz w:val="32"/>
          <w:lang w:eastAsia="zh-CN"/>
        </w:rPr>
        <w:t>本级</w:t>
      </w:r>
      <w:r>
        <w:rPr>
          <w:rFonts w:hint="eastAsia" w:ascii="仿宋_GB2312" w:hAnsi="黑体" w:eastAsia="仿宋_GB2312"/>
          <w:sz w:val="32"/>
        </w:rPr>
        <w:t>运行经费预算126.48万元。</w:t>
      </w:r>
    </w:p>
    <w:p>
      <w:pPr>
        <w:spacing w:beforeLines="0" w:afterLines="0"/>
        <w:ind w:firstLine="640" w:firstLineChars="200"/>
        <w:rPr>
          <w:rFonts w:hint="eastAsia" w:ascii="楷体" w:hAnsi="楷体" w:eastAsia="楷体"/>
          <w:sz w:val="32"/>
        </w:rPr>
      </w:pPr>
      <w:r>
        <w:rPr>
          <w:rFonts w:hint="eastAsia" w:ascii="楷体" w:hAnsi="楷体" w:eastAsia="楷体"/>
          <w:sz w:val="32"/>
        </w:rPr>
        <w:t>（二）政府采购情况</w:t>
      </w:r>
    </w:p>
    <w:p>
      <w:pPr>
        <w:spacing w:beforeLines="0" w:afterLines="0"/>
        <w:ind w:firstLine="640"/>
        <w:rPr>
          <w:rFonts w:hint="eastAsia" w:ascii="仿宋_GB2312" w:hAnsi="黑体" w:eastAsia="仿宋_GB2312"/>
          <w:sz w:val="32"/>
        </w:rPr>
      </w:pPr>
      <w:r>
        <w:rPr>
          <w:rFonts w:hint="eastAsia" w:ascii="仿宋_GB2312" w:hAnsi="黑体" w:eastAsia="仿宋_GB2312"/>
          <w:sz w:val="32"/>
          <w:lang w:val="en-US" w:eastAsia="zh-CN"/>
        </w:rPr>
        <w:t>2024</w:t>
      </w:r>
      <w:r>
        <w:rPr>
          <w:rFonts w:hint="eastAsia" w:ascii="仿宋_GB2312" w:hAnsi="黑体" w:eastAsia="仿宋_GB2312"/>
          <w:sz w:val="32"/>
        </w:rPr>
        <w:t>年</w:t>
      </w:r>
      <w:r>
        <w:rPr>
          <w:rFonts w:hint="eastAsia" w:ascii="仿宋_GB2312" w:hAnsi="黑体" w:eastAsia="仿宋_GB2312"/>
          <w:sz w:val="32"/>
          <w:lang w:eastAsia="zh-CN"/>
        </w:rPr>
        <w:t>海口市人力资源和社会保障局本级</w:t>
      </w:r>
      <w:r>
        <w:rPr>
          <w:rFonts w:hint="eastAsia" w:ascii="仿宋_GB2312" w:hAnsi="黑体" w:eastAsia="仿宋_GB2312"/>
          <w:sz w:val="32"/>
        </w:rPr>
        <w:t>政府采购预算总额</w:t>
      </w:r>
      <w:r>
        <w:rPr>
          <w:rFonts w:hint="eastAsia" w:ascii="仿宋_GB2312" w:hAnsi="黑体" w:eastAsia="仿宋_GB2312"/>
          <w:sz w:val="32"/>
          <w:lang w:val="en-US" w:eastAsia="zh-CN"/>
        </w:rPr>
        <w:t>0</w:t>
      </w:r>
      <w:r>
        <w:rPr>
          <w:rFonts w:hint="eastAsia" w:ascii="仿宋_GB2312" w:hAnsi="黑体" w:eastAsia="仿宋_GB2312"/>
          <w:sz w:val="32"/>
        </w:rPr>
        <w:t>万元，其中：政府采购货物预算</w:t>
      </w:r>
      <w:r>
        <w:rPr>
          <w:rFonts w:hint="eastAsia" w:ascii="仿宋_GB2312" w:hAnsi="黑体" w:eastAsia="仿宋_GB2312"/>
          <w:sz w:val="32"/>
          <w:lang w:val="en-US" w:eastAsia="zh-CN"/>
        </w:rPr>
        <w:t>0</w:t>
      </w:r>
      <w:r>
        <w:rPr>
          <w:rFonts w:hint="eastAsia" w:ascii="仿宋_GB2312" w:hAnsi="黑体" w:eastAsia="仿宋_GB2312"/>
          <w:sz w:val="32"/>
        </w:rPr>
        <w:t>万元，政府采购工程预算</w:t>
      </w:r>
      <w:r>
        <w:rPr>
          <w:rFonts w:hint="eastAsia" w:ascii="仿宋_GB2312" w:hAnsi="黑体" w:eastAsia="仿宋_GB2312"/>
          <w:sz w:val="32"/>
          <w:lang w:val="en-US" w:eastAsia="zh-CN"/>
        </w:rPr>
        <w:t>0</w:t>
      </w:r>
      <w:r>
        <w:rPr>
          <w:rFonts w:hint="eastAsia" w:ascii="仿宋_GB2312" w:hAnsi="黑体" w:eastAsia="仿宋_GB2312"/>
          <w:sz w:val="32"/>
        </w:rPr>
        <w:t>万元，政府采购服务预算</w:t>
      </w:r>
      <w:r>
        <w:rPr>
          <w:rFonts w:hint="eastAsia" w:ascii="仿宋_GB2312" w:hAnsi="黑体" w:eastAsia="仿宋_GB2312"/>
          <w:sz w:val="32"/>
          <w:lang w:val="en-US" w:eastAsia="zh-CN"/>
        </w:rPr>
        <w:t>0</w:t>
      </w:r>
      <w:r>
        <w:rPr>
          <w:rFonts w:hint="eastAsia" w:ascii="仿宋_GB2312" w:hAnsi="黑体" w:eastAsia="仿宋_GB2312"/>
          <w:sz w:val="32"/>
        </w:rPr>
        <w:t>万元。</w:t>
      </w:r>
    </w:p>
    <w:p>
      <w:pPr>
        <w:spacing w:beforeLines="0" w:afterLines="0"/>
        <w:ind w:firstLine="640" w:firstLineChars="200"/>
        <w:rPr>
          <w:rFonts w:hint="eastAsia" w:ascii="楷体" w:hAnsi="楷体" w:eastAsia="楷体"/>
          <w:sz w:val="32"/>
        </w:rPr>
      </w:pPr>
      <w:r>
        <w:rPr>
          <w:rFonts w:hint="eastAsia" w:ascii="楷体" w:hAnsi="楷体" w:eastAsia="楷体"/>
          <w:sz w:val="32"/>
        </w:rPr>
        <w:t>（三）国有资产占有使用情况</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rPr>
        <w:t>截至</w:t>
      </w:r>
      <w:r>
        <w:rPr>
          <w:rFonts w:hint="eastAsia" w:ascii="仿宋_GB2312" w:hAnsi="黑体" w:eastAsia="仿宋_GB2312"/>
          <w:sz w:val="32"/>
          <w:lang w:val="en-US" w:eastAsia="zh-CN"/>
        </w:rPr>
        <w:t>2023</w:t>
      </w:r>
      <w:r>
        <w:rPr>
          <w:rFonts w:hint="eastAsia" w:ascii="仿宋_GB2312" w:hAnsi="黑体" w:eastAsia="仿宋_GB2312"/>
          <w:sz w:val="32"/>
        </w:rPr>
        <w:t>年12月31日，</w:t>
      </w:r>
      <w:r>
        <w:rPr>
          <w:rFonts w:hint="eastAsia" w:ascii="仿宋_GB2312" w:hAnsi="黑体" w:eastAsia="仿宋_GB2312"/>
          <w:sz w:val="32"/>
          <w:lang w:eastAsia="zh-CN"/>
        </w:rPr>
        <w:t>海口市人力资源和社会保障局</w:t>
      </w:r>
      <w:r>
        <w:rPr>
          <w:rFonts w:hint="eastAsia" w:ascii="仿宋_GB2312" w:hAnsi="黑体" w:eastAsia="仿宋_GB2312"/>
          <w:sz w:val="32"/>
        </w:rPr>
        <w:t>本级共有车辆</w:t>
      </w:r>
      <w:r>
        <w:rPr>
          <w:rFonts w:hint="eastAsia" w:ascii="仿宋_GB2312" w:hAnsi="黑体" w:eastAsia="仿宋_GB2312"/>
          <w:sz w:val="32"/>
          <w:lang w:val="en-US" w:eastAsia="zh-CN"/>
        </w:rPr>
        <w:t>2</w:t>
      </w:r>
      <w:r>
        <w:rPr>
          <w:rFonts w:hint="eastAsia" w:ascii="仿宋_GB2312" w:hAnsi="黑体" w:eastAsia="仿宋_GB2312"/>
          <w:sz w:val="32"/>
        </w:rPr>
        <w:t>辆，其中，领导干部用车</w:t>
      </w:r>
      <w:r>
        <w:rPr>
          <w:rFonts w:hint="eastAsia" w:ascii="仿宋_GB2312" w:hAnsi="黑体" w:eastAsia="仿宋_GB2312"/>
          <w:sz w:val="32"/>
          <w:lang w:val="en-US" w:eastAsia="zh-CN"/>
        </w:rPr>
        <w:t>0</w:t>
      </w:r>
      <w:r>
        <w:rPr>
          <w:rFonts w:hint="eastAsia" w:ascii="仿宋_GB2312" w:hAnsi="黑体" w:eastAsia="仿宋_GB2312"/>
          <w:sz w:val="32"/>
        </w:rPr>
        <w:t>辆，机要通信应急用车</w:t>
      </w:r>
      <w:r>
        <w:rPr>
          <w:rFonts w:hint="eastAsia" w:ascii="仿宋_GB2312" w:hAnsi="黑体" w:eastAsia="仿宋_GB2312"/>
          <w:sz w:val="32"/>
          <w:lang w:val="en-US" w:eastAsia="zh-CN"/>
        </w:rPr>
        <w:t>0</w:t>
      </w:r>
      <w:r>
        <w:rPr>
          <w:rFonts w:hint="eastAsia" w:ascii="仿宋_GB2312" w:hAnsi="黑体" w:eastAsia="仿宋_GB2312"/>
          <w:sz w:val="32"/>
        </w:rPr>
        <w:t>辆、一般执法执勤用车</w:t>
      </w:r>
      <w:r>
        <w:rPr>
          <w:rFonts w:hint="eastAsia" w:ascii="仿宋_GB2312" w:hAnsi="黑体" w:eastAsia="仿宋_GB2312"/>
          <w:sz w:val="32"/>
          <w:lang w:val="en-US" w:eastAsia="zh-CN"/>
        </w:rPr>
        <w:t>0</w:t>
      </w:r>
      <w:r>
        <w:rPr>
          <w:rFonts w:hint="eastAsia" w:ascii="仿宋_GB2312" w:hAnsi="黑体" w:eastAsia="仿宋_GB2312"/>
          <w:sz w:val="32"/>
        </w:rPr>
        <w:t>辆、特种专业技术用车</w:t>
      </w:r>
      <w:r>
        <w:rPr>
          <w:rFonts w:hint="eastAsia" w:ascii="仿宋_GB2312" w:hAnsi="黑体" w:eastAsia="仿宋_GB2312"/>
          <w:sz w:val="32"/>
          <w:lang w:val="en-US" w:eastAsia="zh-CN"/>
        </w:rPr>
        <w:t>0</w:t>
      </w:r>
      <w:r>
        <w:rPr>
          <w:rFonts w:hint="eastAsia" w:ascii="仿宋_GB2312" w:hAnsi="黑体" w:eastAsia="仿宋_GB2312"/>
          <w:sz w:val="32"/>
        </w:rPr>
        <w:t>辆、其他用车</w:t>
      </w:r>
      <w:r>
        <w:rPr>
          <w:rFonts w:hint="eastAsia" w:ascii="仿宋_GB2312" w:hAnsi="黑体" w:eastAsia="仿宋_GB2312"/>
          <w:sz w:val="32"/>
          <w:lang w:val="en-US" w:eastAsia="zh-CN"/>
        </w:rPr>
        <w:t>2</w:t>
      </w:r>
      <w:r>
        <w:rPr>
          <w:rFonts w:hint="eastAsia" w:ascii="仿宋_GB2312" w:hAnsi="黑体" w:eastAsia="仿宋_GB2312"/>
          <w:sz w:val="32"/>
        </w:rPr>
        <w:t>辆。单位价值100万元以上设备</w:t>
      </w:r>
      <w:r>
        <w:rPr>
          <w:rFonts w:hint="eastAsia" w:ascii="仿宋_GB2312" w:hAnsi="黑体" w:eastAsia="仿宋_GB2312"/>
          <w:sz w:val="32"/>
          <w:lang w:val="en-US" w:eastAsia="zh-CN"/>
        </w:rPr>
        <w:t>0</w:t>
      </w:r>
      <w:r>
        <w:rPr>
          <w:rFonts w:hint="eastAsia" w:ascii="仿宋_GB2312" w:hAnsi="黑体" w:eastAsia="仿宋_GB2312"/>
          <w:sz w:val="32"/>
        </w:rPr>
        <w:t>台（套）。</w:t>
      </w:r>
    </w:p>
    <w:p>
      <w:pPr>
        <w:spacing w:beforeLines="0" w:afterLines="0"/>
        <w:ind w:firstLine="640" w:firstLineChars="200"/>
        <w:rPr>
          <w:rFonts w:hint="eastAsia" w:ascii="楷体" w:hAnsi="楷体" w:eastAsia="楷体"/>
          <w:sz w:val="32"/>
        </w:rPr>
      </w:pPr>
      <w:r>
        <w:rPr>
          <w:rFonts w:hint="eastAsia" w:ascii="楷体" w:hAnsi="楷体" w:eastAsia="楷体"/>
          <w:sz w:val="32"/>
        </w:rPr>
        <w:t>（四）绩效目标设置情况</w:t>
      </w:r>
    </w:p>
    <w:p>
      <w:pPr>
        <w:spacing w:beforeLines="0" w:afterLines="0"/>
        <w:ind w:firstLine="640" w:firstLineChars="200"/>
        <w:rPr>
          <w:rFonts w:hint="eastAsia" w:ascii="仿宋_GB2312" w:hAnsi="黑体" w:eastAsia="仿宋_GB2312"/>
          <w:sz w:val="32"/>
        </w:rPr>
      </w:pPr>
      <w:r>
        <w:rPr>
          <w:rFonts w:hint="eastAsia" w:ascii="仿宋_GB2312" w:hAnsi="黑体" w:eastAsia="仿宋_GB2312"/>
          <w:sz w:val="32"/>
          <w:lang w:val="en-US" w:eastAsia="zh-CN"/>
        </w:rPr>
        <w:t>2023</w:t>
      </w:r>
      <w:r>
        <w:rPr>
          <w:rFonts w:hint="eastAsia" w:ascii="仿宋_GB2312" w:hAnsi="黑体" w:eastAsia="仿宋_GB2312"/>
          <w:sz w:val="32"/>
        </w:rPr>
        <w:t>年</w:t>
      </w:r>
      <w:r>
        <w:rPr>
          <w:rFonts w:hint="eastAsia" w:ascii="仿宋_GB2312" w:hAnsi="黑体" w:eastAsia="仿宋_GB2312"/>
          <w:sz w:val="32"/>
          <w:lang w:eastAsia="zh-CN"/>
        </w:rPr>
        <w:t>海口市人力资源和社会保障局本级</w:t>
      </w:r>
      <w:r>
        <w:rPr>
          <w:rFonts w:hint="eastAsia" w:ascii="仿宋_GB2312" w:hAnsi="黑体" w:eastAsia="仿宋_GB2312"/>
          <w:sz w:val="32"/>
          <w:lang w:val="en-US" w:eastAsia="zh-CN"/>
        </w:rPr>
        <w:t>17</w:t>
      </w:r>
      <w:r>
        <w:rPr>
          <w:rFonts w:hint="eastAsia" w:ascii="仿宋_GB2312" w:hAnsi="黑体" w:eastAsia="仿宋_GB2312"/>
          <w:sz w:val="32"/>
        </w:rPr>
        <w:t>个项目实行绩效目标管理，涉及一般公共预算</w:t>
      </w:r>
      <w:r>
        <w:rPr>
          <w:rFonts w:hint="eastAsia" w:ascii="仿宋_GB2312" w:hAnsi="黑体" w:eastAsia="仿宋_GB2312"/>
          <w:sz w:val="32"/>
          <w:lang w:val="en-US" w:eastAsia="zh-CN"/>
        </w:rPr>
        <w:t>1,828.54</w:t>
      </w:r>
      <w:bookmarkStart w:id="0" w:name="_GoBack"/>
      <w:bookmarkEnd w:id="0"/>
      <w:r>
        <w:rPr>
          <w:rFonts w:hint="eastAsia" w:ascii="仿宋_GB2312" w:hAnsi="黑体" w:eastAsia="仿宋_GB2312"/>
          <w:sz w:val="32"/>
        </w:rPr>
        <w:t>万元、政府性基金</w:t>
      </w:r>
      <w:r>
        <w:rPr>
          <w:rFonts w:hint="eastAsia" w:ascii="仿宋_GB2312" w:hAnsi="黑体" w:eastAsia="仿宋_GB2312"/>
          <w:sz w:val="32"/>
          <w:lang w:val="en-US" w:eastAsia="zh-CN"/>
        </w:rPr>
        <w:t>0</w:t>
      </w:r>
      <w:r>
        <w:rPr>
          <w:rFonts w:hint="eastAsia" w:ascii="仿宋_GB2312" w:hAnsi="黑体" w:eastAsia="仿宋_GB2312"/>
          <w:sz w:val="32"/>
        </w:rPr>
        <w:t>万元。</w:t>
      </w:r>
    </w:p>
    <w:p>
      <w:pPr>
        <w:spacing w:beforeLines="0" w:afterLines="0"/>
        <w:jc w:val="center"/>
        <w:rPr>
          <w:rFonts w:hint="eastAsia" w:ascii="黑体" w:hAnsi="黑体" w:eastAsia="黑体"/>
          <w:sz w:val="32"/>
        </w:rPr>
      </w:pPr>
    </w:p>
    <w:p>
      <w:pPr>
        <w:jc w:val="center"/>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w:t>
      </w:r>
      <w:r>
        <w:rPr>
          <w:rFonts w:hint="eastAsia" w:ascii="仿宋_GB2312" w:hAnsi="宋体" w:eastAsia="仿宋_GB2312" w:cs="宋体"/>
          <w:color w:val="000000"/>
          <w:kern w:val="0"/>
          <w:sz w:val="32"/>
          <w:szCs w:val="32"/>
          <w:lang w:eastAsia="zh-CN"/>
        </w:rPr>
        <w:t>预算</w:t>
      </w:r>
      <w:r>
        <w:rPr>
          <w:rFonts w:hint="eastAsia" w:ascii="仿宋_GB2312" w:hAnsi="宋体" w:eastAsia="仿宋_GB2312" w:cs="宋体"/>
          <w:color w:val="000000"/>
          <w:kern w:val="0"/>
          <w:sz w:val="32"/>
          <w:szCs w:val="32"/>
        </w:rPr>
        <w:t>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社会保障和就业支出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人力资源和社会保障管理</w:t>
      </w:r>
      <w:r>
        <w:rPr>
          <w:rFonts w:hint="eastAsia" w:ascii="仿宋_GB2312" w:hAnsi="宋体" w:eastAsia="仿宋_GB2312" w:cs="宋体"/>
          <w:color w:val="000000"/>
          <w:kern w:val="0"/>
          <w:sz w:val="32"/>
          <w:szCs w:val="30"/>
        </w:rPr>
        <w:t>事务（款）行政运行（项）：指</w:t>
      </w:r>
      <w:r>
        <w:rPr>
          <w:rFonts w:hint="eastAsia" w:ascii="仿宋_GB2312" w:hAnsi="宋体" w:eastAsia="仿宋_GB2312" w:cs="宋体"/>
          <w:color w:val="000000"/>
          <w:kern w:val="0"/>
          <w:sz w:val="32"/>
          <w:szCs w:val="30"/>
          <w:lang w:eastAsia="zh-CN"/>
        </w:rPr>
        <w:t>人力资源行政单位（包括实行公务员管理的事业单位）</w:t>
      </w:r>
      <w:r>
        <w:rPr>
          <w:rFonts w:hint="eastAsia" w:ascii="仿宋_GB2312" w:hAnsi="宋体" w:eastAsia="仿宋_GB2312" w:cs="宋体"/>
          <w:color w:val="000000"/>
          <w:kern w:val="0"/>
          <w:sz w:val="32"/>
          <w:szCs w:val="30"/>
        </w:rPr>
        <w:t>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w:t>
      </w:r>
      <w:r>
        <w:rPr>
          <w:rFonts w:hint="eastAsia" w:ascii="仿宋_GB2312" w:hAnsi="宋体" w:eastAsia="仿宋_GB2312" w:cs="宋体"/>
          <w:color w:val="000000"/>
          <w:kern w:val="0"/>
          <w:sz w:val="32"/>
          <w:szCs w:val="30"/>
          <w:lang w:eastAsia="zh-CN"/>
        </w:rPr>
        <w:t>社会保障和就业支出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人力资源和社会保障管理</w:t>
      </w:r>
      <w:r>
        <w:rPr>
          <w:rFonts w:hint="eastAsia" w:ascii="仿宋_GB2312" w:hAnsi="宋体" w:eastAsia="仿宋_GB2312" w:cs="宋体"/>
          <w:color w:val="000000"/>
          <w:kern w:val="0"/>
          <w:sz w:val="32"/>
          <w:szCs w:val="30"/>
        </w:rPr>
        <w:t>事务（款）一般行政管理事务（项）：指用于</w:t>
      </w:r>
      <w:r>
        <w:rPr>
          <w:rFonts w:hint="eastAsia" w:ascii="仿宋_GB2312" w:hAnsi="宋体" w:eastAsia="仿宋_GB2312" w:cs="宋体"/>
          <w:color w:val="000000"/>
          <w:kern w:val="0"/>
          <w:sz w:val="32"/>
          <w:szCs w:val="30"/>
          <w:lang w:eastAsia="zh-CN"/>
        </w:rPr>
        <w:t>人力资源行政单位（包括实行公务员管理的事业单位）</w:t>
      </w:r>
      <w:r>
        <w:rPr>
          <w:rFonts w:hint="eastAsia" w:ascii="仿宋_GB2312" w:hAnsi="宋体" w:eastAsia="仿宋_GB2312" w:cs="宋体"/>
          <w:color w:val="000000"/>
          <w:kern w:val="0"/>
          <w:sz w:val="32"/>
          <w:szCs w:val="30"/>
        </w:rPr>
        <w:t>未单独设置项级科目的</w:t>
      </w:r>
      <w:r>
        <w:rPr>
          <w:rFonts w:hint="eastAsia" w:ascii="仿宋_GB2312" w:hAnsi="宋体" w:eastAsia="仿宋_GB2312" w:cs="宋体"/>
          <w:color w:val="000000"/>
          <w:kern w:val="0"/>
          <w:sz w:val="32"/>
          <w:szCs w:val="30"/>
          <w:lang w:eastAsia="zh-CN"/>
        </w:rPr>
        <w:t>其他</w:t>
      </w:r>
      <w:r>
        <w:rPr>
          <w:rFonts w:hint="eastAsia" w:ascii="仿宋_GB2312" w:hAnsi="宋体" w:eastAsia="仿宋_GB2312" w:cs="宋体"/>
          <w:color w:val="000000"/>
          <w:kern w:val="0"/>
          <w:sz w:val="32"/>
          <w:szCs w:val="30"/>
        </w:rPr>
        <w:t>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beforeLines="0" w:afterLines="0"/>
        <w:ind w:firstLine="640" w:firstLineChars="200"/>
        <w:jc w:val="left"/>
        <w:rPr>
          <w:rFonts w:hint="eastAsia" w:ascii="仿宋_GB2312" w:hAnsi="宋体" w:eastAsia="仿宋_GB2312"/>
          <w:color w:val="000000"/>
          <w:kern w:val="0"/>
          <w:sz w:val="32"/>
        </w:rPr>
      </w:pPr>
      <w:r>
        <w:rPr>
          <w:rFonts w:hint="eastAsia" w:ascii="仿宋_GB2312" w:hAnsi="宋体" w:eastAsia="仿宋_GB2312" w:cs="宋体"/>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C4F070"/>
    <w:multiLevelType w:val="multilevel"/>
    <w:tmpl w:val="8FC4F070"/>
    <w:lvl w:ilvl="0" w:tentative="0">
      <w:start w:val="2"/>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3088"/>
    <w:rsid w:val="000D06FC"/>
    <w:rsid w:val="001326C1"/>
    <w:rsid w:val="00150D91"/>
    <w:rsid w:val="00173B57"/>
    <w:rsid w:val="001A7472"/>
    <w:rsid w:val="001D2B24"/>
    <w:rsid w:val="001F791C"/>
    <w:rsid w:val="002346B9"/>
    <w:rsid w:val="002530AD"/>
    <w:rsid w:val="002539FC"/>
    <w:rsid w:val="00283E6E"/>
    <w:rsid w:val="00293316"/>
    <w:rsid w:val="002956BC"/>
    <w:rsid w:val="002A59FA"/>
    <w:rsid w:val="002E73B0"/>
    <w:rsid w:val="00343757"/>
    <w:rsid w:val="00377209"/>
    <w:rsid w:val="003847B6"/>
    <w:rsid w:val="004313AB"/>
    <w:rsid w:val="004522A5"/>
    <w:rsid w:val="00474F12"/>
    <w:rsid w:val="004A1C49"/>
    <w:rsid w:val="00525863"/>
    <w:rsid w:val="00537B3F"/>
    <w:rsid w:val="0059423F"/>
    <w:rsid w:val="005C2065"/>
    <w:rsid w:val="00640059"/>
    <w:rsid w:val="006871F7"/>
    <w:rsid w:val="006B1FB3"/>
    <w:rsid w:val="006E2EF0"/>
    <w:rsid w:val="0075151D"/>
    <w:rsid w:val="007523E7"/>
    <w:rsid w:val="00786240"/>
    <w:rsid w:val="00793A7F"/>
    <w:rsid w:val="007B3322"/>
    <w:rsid w:val="007E4EAF"/>
    <w:rsid w:val="008850C4"/>
    <w:rsid w:val="008C4A1F"/>
    <w:rsid w:val="008D6470"/>
    <w:rsid w:val="009262C2"/>
    <w:rsid w:val="00926751"/>
    <w:rsid w:val="00944ACB"/>
    <w:rsid w:val="00947538"/>
    <w:rsid w:val="009616E6"/>
    <w:rsid w:val="009846A5"/>
    <w:rsid w:val="00995DA5"/>
    <w:rsid w:val="009A4F6A"/>
    <w:rsid w:val="009A7673"/>
    <w:rsid w:val="009F52FB"/>
    <w:rsid w:val="00A31DCF"/>
    <w:rsid w:val="00A545A0"/>
    <w:rsid w:val="00AE40A6"/>
    <w:rsid w:val="00B13CBC"/>
    <w:rsid w:val="00B345F9"/>
    <w:rsid w:val="00B7163F"/>
    <w:rsid w:val="00BD1806"/>
    <w:rsid w:val="00C07C92"/>
    <w:rsid w:val="00C55B8D"/>
    <w:rsid w:val="00C665F5"/>
    <w:rsid w:val="00C91D51"/>
    <w:rsid w:val="00CA7DBE"/>
    <w:rsid w:val="00CD7757"/>
    <w:rsid w:val="00DC65EF"/>
    <w:rsid w:val="00DD3FD8"/>
    <w:rsid w:val="00E3389C"/>
    <w:rsid w:val="00E73A4A"/>
    <w:rsid w:val="00ED50D0"/>
    <w:rsid w:val="00ED6580"/>
    <w:rsid w:val="00F91B44"/>
    <w:rsid w:val="00FB0A31"/>
    <w:rsid w:val="00FB5865"/>
    <w:rsid w:val="00FF3698"/>
    <w:rsid w:val="018D5544"/>
    <w:rsid w:val="027B27F2"/>
    <w:rsid w:val="05BC74CA"/>
    <w:rsid w:val="079428DA"/>
    <w:rsid w:val="07AB6D4F"/>
    <w:rsid w:val="08134E4A"/>
    <w:rsid w:val="0A1552EE"/>
    <w:rsid w:val="0A3A75C6"/>
    <w:rsid w:val="0A5C2ACD"/>
    <w:rsid w:val="0A604BE2"/>
    <w:rsid w:val="0BAB499B"/>
    <w:rsid w:val="0C0B0D84"/>
    <w:rsid w:val="0F605D47"/>
    <w:rsid w:val="1038216F"/>
    <w:rsid w:val="10480D46"/>
    <w:rsid w:val="14D3660A"/>
    <w:rsid w:val="16B85BB2"/>
    <w:rsid w:val="16E04732"/>
    <w:rsid w:val="1B166341"/>
    <w:rsid w:val="1BBD5467"/>
    <w:rsid w:val="1C4C7186"/>
    <w:rsid w:val="1F333865"/>
    <w:rsid w:val="1FB135D7"/>
    <w:rsid w:val="219F1324"/>
    <w:rsid w:val="232F6203"/>
    <w:rsid w:val="2407796E"/>
    <w:rsid w:val="25095F82"/>
    <w:rsid w:val="289305C8"/>
    <w:rsid w:val="294E3700"/>
    <w:rsid w:val="2EAF7D29"/>
    <w:rsid w:val="2FC82A6F"/>
    <w:rsid w:val="32451BED"/>
    <w:rsid w:val="349152E4"/>
    <w:rsid w:val="35397AB3"/>
    <w:rsid w:val="35547E53"/>
    <w:rsid w:val="381C089E"/>
    <w:rsid w:val="38532E04"/>
    <w:rsid w:val="3A446E63"/>
    <w:rsid w:val="3C9357B9"/>
    <w:rsid w:val="3E566ADD"/>
    <w:rsid w:val="427A592E"/>
    <w:rsid w:val="42CC13BF"/>
    <w:rsid w:val="437A2AE6"/>
    <w:rsid w:val="44F551A7"/>
    <w:rsid w:val="45054E1A"/>
    <w:rsid w:val="45972DFA"/>
    <w:rsid w:val="45D10CBA"/>
    <w:rsid w:val="46A735A6"/>
    <w:rsid w:val="473F08AB"/>
    <w:rsid w:val="475850E4"/>
    <w:rsid w:val="48080CDB"/>
    <w:rsid w:val="49F95F58"/>
    <w:rsid w:val="4ABC247D"/>
    <w:rsid w:val="4D070EAC"/>
    <w:rsid w:val="4E0C3D4E"/>
    <w:rsid w:val="4EC12CA6"/>
    <w:rsid w:val="51677D0E"/>
    <w:rsid w:val="52124468"/>
    <w:rsid w:val="5B594A24"/>
    <w:rsid w:val="5C0F0DA1"/>
    <w:rsid w:val="5C2E21B9"/>
    <w:rsid w:val="5C5B193C"/>
    <w:rsid w:val="5FD04F6D"/>
    <w:rsid w:val="5FDF0E0B"/>
    <w:rsid w:val="60DF37C9"/>
    <w:rsid w:val="621B42C1"/>
    <w:rsid w:val="63CA579E"/>
    <w:rsid w:val="640036D4"/>
    <w:rsid w:val="65BF3929"/>
    <w:rsid w:val="67800477"/>
    <w:rsid w:val="69D53672"/>
    <w:rsid w:val="6AF93F46"/>
    <w:rsid w:val="6C0F4CE9"/>
    <w:rsid w:val="6DA96D21"/>
    <w:rsid w:val="6E8C1B1B"/>
    <w:rsid w:val="6F081466"/>
    <w:rsid w:val="71625BD8"/>
    <w:rsid w:val="7505794C"/>
    <w:rsid w:val="75C65513"/>
    <w:rsid w:val="7741067B"/>
    <w:rsid w:val="77DC09DE"/>
    <w:rsid w:val="790564B5"/>
    <w:rsid w:val="7B5900BD"/>
    <w:rsid w:val="7BC73A12"/>
    <w:rsid w:val="7C506CA7"/>
    <w:rsid w:val="7E3B1A4B"/>
    <w:rsid w:val="7FA032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style>
  <w:style w:type="paragraph" w:styleId="6">
    <w:name w:val="toc 2"/>
    <w:basedOn w:val="1"/>
    <w:next w:val="1"/>
    <w:qFormat/>
    <w:uiPriority w:val="99"/>
    <w:pPr>
      <w:ind w:left="420" w:leftChars="200"/>
    </w:pPr>
  </w:style>
  <w:style w:type="character" w:customStyle="1" w:styleId="9">
    <w:name w:val="Footer Char"/>
    <w:basedOn w:val="8"/>
    <w:link w:val="3"/>
    <w:semiHidden/>
    <w:qFormat/>
    <w:locked/>
    <w:uiPriority w:val="99"/>
    <w:rPr>
      <w:rFonts w:cs="Times New Roman"/>
      <w:sz w:val="18"/>
      <w:szCs w:val="18"/>
    </w:rPr>
  </w:style>
  <w:style w:type="character" w:customStyle="1" w:styleId="10">
    <w:name w:val="Header Char"/>
    <w:basedOn w:val="8"/>
    <w:link w:val="4"/>
    <w:semiHidden/>
    <w:qFormat/>
    <w:locked/>
    <w:uiPriority w:val="99"/>
    <w:rPr>
      <w:rFonts w:cs="Times New Roman"/>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25</Pages>
  <Words>1341</Words>
  <Characters>7645</Characters>
  <Lines>0</Lines>
  <Paragraphs>0</Paragraphs>
  <TotalTime>33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cp:lastPrinted>2022-03-18T08:36:00Z</cp:lastPrinted>
  <dcterms:modified xsi:type="dcterms:W3CDTF">2024-02-04T07:14:11Z</dcterms:modified>
  <dc:title>2021年海口市人力资源和社会局本级预算</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A4F0763A1B4849DCA66D06FBE2F89956</vt:lpwstr>
  </property>
</Properties>
</file>