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C3" w:rsidRDefault="00A203C3">
      <w:pPr>
        <w:rPr>
          <w:sz w:val="84"/>
          <w:szCs w:val="84"/>
          <w:u w:val="single"/>
        </w:rPr>
      </w:pPr>
    </w:p>
    <w:p w:rsidR="00A203C3" w:rsidRDefault="00A203C3">
      <w:pPr>
        <w:rPr>
          <w:sz w:val="84"/>
          <w:szCs w:val="84"/>
          <w:u w:val="single"/>
        </w:rPr>
      </w:pPr>
    </w:p>
    <w:p w:rsidR="00A203C3" w:rsidRDefault="00A203C3">
      <w:pPr>
        <w:rPr>
          <w:sz w:val="84"/>
          <w:szCs w:val="84"/>
          <w:u w:val="single"/>
        </w:rPr>
      </w:pPr>
    </w:p>
    <w:p w:rsidR="00A203C3" w:rsidRDefault="00A203C3">
      <w:pPr>
        <w:rPr>
          <w:sz w:val="84"/>
          <w:szCs w:val="84"/>
          <w:u w:val="single"/>
        </w:rPr>
      </w:pPr>
    </w:p>
    <w:p w:rsidR="00A203C3" w:rsidRDefault="00E342BF">
      <w:pPr>
        <w:jc w:val="center"/>
        <w:rPr>
          <w:sz w:val="84"/>
          <w:szCs w:val="84"/>
        </w:rPr>
      </w:pPr>
      <w:r>
        <w:rPr>
          <w:rFonts w:ascii="宋体" w:hAnsi="宋体" w:cs="宋体"/>
          <w:sz w:val="84"/>
          <w:szCs w:val="84"/>
        </w:rPr>
        <w:t>202</w:t>
      </w:r>
      <w:r>
        <w:rPr>
          <w:rFonts w:ascii="宋体" w:hAnsi="宋体" w:cs="宋体" w:hint="eastAsia"/>
          <w:sz w:val="84"/>
          <w:szCs w:val="84"/>
        </w:rPr>
        <w:t>0</w:t>
      </w:r>
      <w:r>
        <w:rPr>
          <w:rFonts w:hint="eastAsia"/>
          <w:sz w:val="84"/>
          <w:szCs w:val="84"/>
        </w:rPr>
        <w:t>年海口市人才劳动力交流服务中心决算</w:t>
      </w:r>
    </w:p>
    <w:p w:rsidR="00A203C3" w:rsidRDefault="00A203C3">
      <w:pPr>
        <w:ind w:firstLine="1680"/>
        <w:jc w:val="center"/>
        <w:rPr>
          <w:sz w:val="84"/>
          <w:szCs w:val="84"/>
        </w:rPr>
      </w:pPr>
    </w:p>
    <w:p w:rsidR="00A203C3" w:rsidRDefault="00A203C3">
      <w:pPr>
        <w:ind w:firstLine="1680"/>
        <w:jc w:val="center"/>
        <w:rPr>
          <w:rFonts w:ascii="宋体" w:hAnsi="宋体" w:cs="宋体"/>
          <w:sz w:val="44"/>
          <w:szCs w:val="44"/>
        </w:rPr>
      </w:pPr>
    </w:p>
    <w:p w:rsidR="00A203C3" w:rsidRDefault="00A203C3">
      <w:pPr>
        <w:ind w:firstLine="1680"/>
        <w:jc w:val="center"/>
        <w:rPr>
          <w:sz w:val="84"/>
          <w:szCs w:val="84"/>
        </w:rPr>
      </w:pPr>
    </w:p>
    <w:p w:rsidR="00A203C3" w:rsidRDefault="00A203C3">
      <w:pPr>
        <w:ind w:firstLine="1680"/>
        <w:jc w:val="center"/>
        <w:rPr>
          <w:sz w:val="84"/>
          <w:szCs w:val="84"/>
        </w:rPr>
      </w:pPr>
    </w:p>
    <w:p w:rsidR="00A203C3" w:rsidRDefault="00A203C3">
      <w:pPr>
        <w:ind w:firstLine="1680"/>
        <w:jc w:val="center"/>
        <w:rPr>
          <w:sz w:val="84"/>
          <w:szCs w:val="84"/>
        </w:rPr>
      </w:pPr>
    </w:p>
    <w:p w:rsidR="00A203C3" w:rsidRDefault="00A203C3">
      <w:pPr>
        <w:pStyle w:val="1"/>
        <w:tabs>
          <w:tab w:val="right" w:leader="dot" w:pos="8306"/>
        </w:tabs>
        <w:rPr>
          <w:rFonts w:ascii="黑体" w:eastAsia="黑体" w:hAnsi="黑体"/>
          <w:sz w:val="52"/>
          <w:szCs w:val="52"/>
        </w:rPr>
      </w:pPr>
    </w:p>
    <w:p w:rsidR="00A203C3" w:rsidRDefault="00377AD4">
      <w:pPr>
        <w:jc w:val="center"/>
        <w:rPr>
          <w:rFonts w:ascii="黑体" w:eastAsia="黑体" w:hAnsi="黑体" w:cs="黑体"/>
          <w:sz w:val="44"/>
          <w:szCs w:val="44"/>
        </w:rPr>
      </w:pPr>
      <w:r>
        <w:rPr>
          <w:rFonts w:ascii="黑体" w:eastAsia="黑体" w:hAnsi="黑体"/>
          <w:sz w:val="52"/>
          <w:szCs w:val="52"/>
        </w:rPr>
        <w:fldChar w:fldCharType="begin"/>
      </w:r>
      <w:r w:rsidR="00E342BF">
        <w:rPr>
          <w:rFonts w:ascii="黑体" w:eastAsia="黑体" w:hAnsi="黑体"/>
          <w:sz w:val="52"/>
          <w:szCs w:val="52"/>
        </w:rPr>
        <w:instrText xml:space="preserve">TOC \o "1-2" \h \u </w:instrText>
      </w:r>
      <w:r>
        <w:rPr>
          <w:rFonts w:ascii="黑体" w:eastAsia="黑体" w:hAnsi="黑体"/>
          <w:sz w:val="52"/>
          <w:szCs w:val="52"/>
        </w:rPr>
        <w:fldChar w:fldCharType="separate"/>
      </w:r>
      <w:r w:rsidR="00E342BF">
        <w:rPr>
          <w:rFonts w:ascii="黑体" w:eastAsia="黑体" w:hAnsi="黑体" w:cs="黑体" w:hint="eastAsia"/>
          <w:sz w:val="44"/>
          <w:szCs w:val="44"/>
        </w:rPr>
        <w:t>目录</w:t>
      </w:r>
    </w:p>
    <w:p w:rsidR="00A203C3" w:rsidRDefault="00377AD4">
      <w:pPr>
        <w:pStyle w:val="WPSOffice1"/>
        <w:tabs>
          <w:tab w:val="right" w:leader="dot" w:pos="8306"/>
        </w:tabs>
        <w:rPr>
          <w:sz w:val="32"/>
          <w:szCs w:val="32"/>
        </w:rPr>
      </w:pPr>
      <w:hyperlink w:anchor="_Toc1704_WPSOffice_Level1" w:history="1">
        <w:r w:rsidR="00E342BF">
          <w:rPr>
            <w:rFonts w:ascii="黑体" w:eastAsia="黑体" w:hAnsi="ˎ̥" w:hint="eastAsia"/>
            <w:sz w:val="32"/>
            <w:szCs w:val="32"/>
          </w:rPr>
          <w:t>第一部分 海口市人才劳动力交流服务中心概况</w:t>
        </w:r>
        <w:r w:rsidR="00E342BF">
          <w:rPr>
            <w:sz w:val="32"/>
            <w:szCs w:val="32"/>
          </w:rPr>
          <w:tab/>
        </w:r>
        <w:r w:rsidR="00E342BF">
          <w:rPr>
            <w:rFonts w:hint="eastAsia"/>
            <w:sz w:val="32"/>
            <w:szCs w:val="32"/>
          </w:rPr>
          <w:t>1</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20274_WPSOffice_Level2" w:history="1">
        <w:r w:rsidR="00E342BF">
          <w:rPr>
            <w:rFonts w:ascii="仿宋" w:eastAsia="仿宋" w:hAnsi="仿宋" w:cs="仿宋" w:hint="eastAsia"/>
            <w:sz w:val="32"/>
            <w:szCs w:val="32"/>
          </w:rPr>
          <w:t>一、部门职责</w:t>
        </w:r>
        <w:r w:rsidR="00E342BF">
          <w:rPr>
            <w:rFonts w:ascii="仿宋" w:eastAsia="仿宋" w:hAnsi="仿宋" w:cs="仿宋" w:hint="eastAsia"/>
            <w:sz w:val="32"/>
            <w:szCs w:val="32"/>
          </w:rPr>
          <w:tab/>
          <w:t>1</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4833_WPSOffice_Level2" w:history="1">
        <w:r w:rsidR="00E342BF">
          <w:rPr>
            <w:rFonts w:ascii="仿宋" w:eastAsia="仿宋" w:hAnsi="仿宋" w:cs="仿宋" w:hint="eastAsia"/>
            <w:sz w:val="32"/>
            <w:szCs w:val="32"/>
          </w:rPr>
          <w:t>二、机构设置</w:t>
        </w:r>
        <w:r w:rsidR="00E342BF">
          <w:rPr>
            <w:rFonts w:ascii="仿宋" w:eastAsia="仿宋" w:hAnsi="仿宋" w:cs="仿宋" w:hint="eastAsia"/>
            <w:sz w:val="32"/>
            <w:szCs w:val="32"/>
          </w:rPr>
          <w:tab/>
          <w:t>1</w:t>
        </w:r>
      </w:hyperlink>
    </w:p>
    <w:p w:rsidR="00A203C3" w:rsidRDefault="00377AD4">
      <w:pPr>
        <w:pStyle w:val="WPSOffice1"/>
        <w:tabs>
          <w:tab w:val="right" w:leader="dot" w:pos="8306"/>
        </w:tabs>
        <w:rPr>
          <w:sz w:val="32"/>
          <w:szCs w:val="32"/>
        </w:rPr>
      </w:pPr>
      <w:hyperlink w:anchor="_Toc28253_WPSOffice_Level1" w:history="1">
        <w:r w:rsidR="00E342BF">
          <w:rPr>
            <w:rFonts w:ascii="黑体" w:eastAsia="黑体" w:hAnsi="ˎ̥" w:hint="eastAsia"/>
            <w:sz w:val="32"/>
            <w:szCs w:val="32"/>
          </w:rPr>
          <w:t>第二部分 海口市人才劳动力交流服务中心2020年决算公开表</w:t>
        </w:r>
        <w:r w:rsidR="00E342BF">
          <w:rPr>
            <w:sz w:val="32"/>
            <w:szCs w:val="32"/>
          </w:rPr>
          <w:tab/>
        </w:r>
        <w:r w:rsidR="00E342BF">
          <w:rPr>
            <w:rFonts w:hint="eastAsia"/>
            <w:sz w:val="32"/>
            <w:szCs w:val="32"/>
          </w:rPr>
          <w:t>2</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11518_WPSOffice_Level2" w:history="1">
        <w:r w:rsidR="00E342BF">
          <w:rPr>
            <w:rFonts w:ascii="仿宋" w:eastAsia="仿宋" w:hAnsi="仿宋" w:cs="仿宋" w:hint="eastAsia"/>
            <w:sz w:val="32"/>
            <w:szCs w:val="32"/>
          </w:rPr>
          <w:t>一、收入支出决算公开表</w:t>
        </w:r>
        <w:r w:rsidR="00E342BF">
          <w:rPr>
            <w:rFonts w:ascii="仿宋" w:eastAsia="仿宋" w:hAnsi="仿宋" w:cs="仿宋" w:hint="eastAsia"/>
            <w:sz w:val="32"/>
            <w:szCs w:val="32"/>
          </w:rPr>
          <w:tab/>
          <w:t>2</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28622_WPSOffice_Level2" w:history="1">
        <w:r w:rsidR="00E342BF">
          <w:rPr>
            <w:rFonts w:ascii="仿宋" w:eastAsia="仿宋" w:hAnsi="仿宋" w:cs="仿宋" w:hint="eastAsia"/>
            <w:sz w:val="32"/>
            <w:szCs w:val="32"/>
          </w:rPr>
          <w:t>二、收入决算公开表</w:t>
        </w:r>
        <w:r w:rsidR="00E342BF">
          <w:rPr>
            <w:rFonts w:ascii="仿宋" w:eastAsia="仿宋" w:hAnsi="仿宋" w:cs="仿宋" w:hint="eastAsia"/>
            <w:sz w:val="32"/>
            <w:szCs w:val="32"/>
          </w:rPr>
          <w:tab/>
          <w:t>3</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5489_WPSOffice_Level2" w:history="1">
        <w:r w:rsidR="00E342BF">
          <w:rPr>
            <w:rFonts w:ascii="仿宋" w:eastAsia="仿宋" w:hAnsi="仿宋" w:cs="仿宋" w:hint="eastAsia"/>
            <w:sz w:val="32"/>
            <w:szCs w:val="32"/>
          </w:rPr>
          <w:t>三、支出决算公开表</w:t>
        </w:r>
        <w:r w:rsidR="00E342BF">
          <w:rPr>
            <w:rFonts w:ascii="仿宋" w:eastAsia="仿宋" w:hAnsi="仿宋" w:cs="仿宋" w:hint="eastAsia"/>
            <w:sz w:val="32"/>
            <w:szCs w:val="32"/>
          </w:rPr>
          <w:tab/>
          <w:t>4</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23493_WPSOffice_Level2" w:history="1">
        <w:r w:rsidR="00E342BF">
          <w:rPr>
            <w:rFonts w:ascii="仿宋" w:eastAsia="仿宋" w:hAnsi="仿宋" w:cs="仿宋" w:hint="eastAsia"/>
            <w:sz w:val="32"/>
            <w:szCs w:val="32"/>
          </w:rPr>
          <w:t>四、财政拨款收入支出决算公开表</w:t>
        </w:r>
        <w:r w:rsidR="00E342BF">
          <w:rPr>
            <w:rFonts w:ascii="仿宋" w:eastAsia="仿宋" w:hAnsi="仿宋" w:cs="仿宋" w:hint="eastAsia"/>
            <w:sz w:val="32"/>
            <w:szCs w:val="32"/>
          </w:rPr>
          <w:tab/>
          <w:t>5</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7879_WPSOffice_Level2" w:history="1">
        <w:r w:rsidR="00E342BF">
          <w:rPr>
            <w:rFonts w:ascii="仿宋" w:eastAsia="仿宋" w:hAnsi="仿宋" w:cs="仿宋" w:hint="eastAsia"/>
            <w:sz w:val="32"/>
            <w:szCs w:val="32"/>
          </w:rPr>
          <w:t>五、一般公共预算财政拨款收入支出决算公开表</w:t>
        </w:r>
        <w:r w:rsidR="00E342BF">
          <w:rPr>
            <w:rFonts w:ascii="仿宋" w:eastAsia="仿宋" w:hAnsi="仿宋" w:cs="仿宋" w:hint="eastAsia"/>
            <w:sz w:val="32"/>
            <w:szCs w:val="32"/>
          </w:rPr>
          <w:tab/>
          <w:t>6</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8373_WPSOffice_Level2" w:history="1">
        <w:r w:rsidR="00E342BF">
          <w:rPr>
            <w:rFonts w:ascii="仿宋" w:eastAsia="仿宋" w:hAnsi="仿宋" w:cs="仿宋" w:hint="eastAsia"/>
            <w:sz w:val="32"/>
            <w:szCs w:val="32"/>
          </w:rPr>
          <w:t>六、一般公共预算财政拨款基本支出决算公开表</w:t>
        </w:r>
        <w:r w:rsidR="00E342BF">
          <w:rPr>
            <w:rFonts w:ascii="仿宋" w:eastAsia="仿宋" w:hAnsi="仿宋" w:cs="仿宋" w:hint="eastAsia"/>
            <w:sz w:val="32"/>
            <w:szCs w:val="32"/>
          </w:rPr>
          <w:tab/>
          <w:t>7</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1820_WPSOffice_Level2" w:history="1">
        <w:r w:rsidR="00E342BF">
          <w:rPr>
            <w:rFonts w:ascii="仿宋" w:eastAsia="仿宋" w:hAnsi="仿宋" w:cs="仿宋" w:hint="eastAsia"/>
            <w:sz w:val="32"/>
            <w:szCs w:val="32"/>
          </w:rPr>
          <w:t>七、政府性基金预算财政拨款收入支出决算公开表</w:t>
        </w:r>
        <w:r w:rsidR="00E342BF">
          <w:rPr>
            <w:rFonts w:ascii="仿宋" w:eastAsia="仿宋" w:hAnsi="仿宋" w:cs="仿宋" w:hint="eastAsia"/>
            <w:sz w:val="32"/>
            <w:szCs w:val="32"/>
          </w:rPr>
          <w:tab/>
          <w:t>8</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1820_WPSOffice_Level2" w:history="1">
        <w:r w:rsidR="00E342BF">
          <w:rPr>
            <w:rFonts w:ascii="仿宋" w:eastAsia="仿宋" w:hAnsi="仿宋" w:cs="仿宋" w:hint="eastAsia"/>
            <w:sz w:val="32"/>
            <w:szCs w:val="32"/>
          </w:rPr>
          <w:t>八、国有资本经营预算财政拨款收入支出决算公开表</w:t>
        </w:r>
        <w:r w:rsidR="00E342BF">
          <w:rPr>
            <w:rFonts w:ascii="仿宋" w:eastAsia="仿宋" w:hAnsi="仿宋" w:cs="仿宋" w:hint="eastAsia"/>
            <w:sz w:val="32"/>
            <w:szCs w:val="32"/>
          </w:rPr>
          <w:tab/>
          <w:t>9</w:t>
        </w:r>
      </w:hyperlink>
    </w:p>
    <w:p w:rsidR="00A203C3" w:rsidRDefault="00377AD4">
      <w:pPr>
        <w:pStyle w:val="WPSOffice2"/>
        <w:tabs>
          <w:tab w:val="right" w:leader="dot" w:pos="8306"/>
        </w:tabs>
        <w:ind w:leftChars="0" w:left="0"/>
        <w:rPr>
          <w:rFonts w:ascii="仿宋" w:eastAsia="仿宋" w:hAnsi="仿宋" w:cs="仿宋"/>
          <w:sz w:val="32"/>
          <w:szCs w:val="32"/>
        </w:rPr>
      </w:pPr>
      <w:hyperlink w:anchor="_Toc21310_WPSOffice_Level2" w:history="1">
        <w:r w:rsidR="00E342BF">
          <w:rPr>
            <w:rFonts w:ascii="仿宋" w:eastAsia="仿宋" w:hAnsi="仿宋" w:cs="仿宋" w:hint="eastAsia"/>
            <w:sz w:val="32"/>
            <w:szCs w:val="32"/>
          </w:rPr>
          <w:t>九、一般公共预算财政拨款“三公”经费支出决算公开表</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0</w:t>
      </w:r>
    </w:p>
    <w:p w:rsidR="00A203C3" w:rsidRDefault="00377AD4">
      <w:pPr>
        <w:pStyle w:val="WPSOffice2"/>
        <w:tabs>
          <w:tab w:val="right" w:leader="dot" w:pos="8306"/>
        </w:tabs>
        <w:ind w:leftChars="0" w:left="0"/>
        <w:rPr>
          <w:rFonts w:ascii="仿宋" w:eastAsia="仿宋" w:hAnsi="仿宋" w:cs="仿宋"/>
          <w:sz w:val="32"/>
          <w:szCs w:val="32"/>
        </w:rPr>
      </w:pPr>
      <w:hyperlink w:anchor="_Toc21310_WPSOffice_Level2" w:history="1">
        <w:r w:rsidR="00E342BF">
          <w:rPr>
            <w:rFonts w:ascii="仿宋" w:eastAsia="仿宋" w:hAnsi="仿宋" w:cs="仿宋" w:hint="eastAsia"/>
            <w:sz w:val="32"/>
            <w:szCs w:val="32"/>
          </w:rPr>
          <w:t>十、政府性基金预算财政拨款“三公”经费支出决算公开表</w:t>
        </w:r>
        <w:r w:rsidR="00E342BF">
          <w:rPr>
            <w:rFonts w:ascii="仿宋" w:eastAsia="仿宋" w:hAnsi="仿宋" w:cs="仿宋" w:hint="eastAsia"/>
            <w:sz w:val="32"/>
            <w:szCs w:val="32"/>
          </w:rPr>
          <w:tab/>
        </w:r>
      </w:hyperlink>
      <w:r w:rsidR="00E342BF">
        <w:rPr>
          <w:rFonts w:ascii="仿宋" w:eastAsia="仿宋" w:hAnsi="仿宋" w:cs="仿宋" w:hint="eastAsia"/>
          <w:sz w:val="32"/>
          <w:szCs w:val="32"/>
        </w:rPr>
        <w:t>10</w:t>
      </w:r>
    </w:p>
    <w:p w:rsidR="00A203C3" w:rsidRDefault="00377AD4">
      <w:pPr>
        <w:pStyle w:val="WPSOffice2"/>
        <w:tabs>
          <w:tab w:val="right" w:leader="dot" w:pos="8306"/>
        </w:tabs>
        <w:ind w:leftChars="0" w:left="0"/>
        <w:rPr>
          <w:rFonts w:ascii="仿宋" w:eastAsia="仿宋" w:hAnsi="仿宋" w:cs="仿宋"/>
          <w:sz w:val="32"/>
          <w:szCs w:val="32"/>
        </w:rPr>
      </w:pPr>
      <w:hyperlink w:anchor="_Toc21310_WPSOffice_Level2" w:history="1">
        <w:r w:rsidR="00E342BF">
          <w:rPr>
            <w:rFonts w:ascii="仿宋" w:eastAsia="仿宋" w:hAnsi="仿宋" w:cs="仿宋" w:hint="eastAsia"/>
            <w:sz w:val="32"/>
            <w:szCs w:val="32"/>
          </w:rPr>
          <w:t>十一、国有资本经营预算财政拨款“三公”经费支出决算公开表</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0</w:t>
      </w:r>
    </w:p>
    <w:p w:rsidR="00A203C3" w:rsidRDefault="00377AD4">
      <w:pPr>
        <w:pStyle w:val="WPSOffice1"/>
        <w:tabs>
          <w:tab w:val="right" w:leader="dot" w:pos="8306"/>
        </w:tabs>
        <w:rPr>
          <w:sz w:val="32"/>
          <w:szCs w:val="32"/>
        </w:rPr>
      </w:pPr>
      <w:hyperlink w:anchor="_Toc27590_WPSOffice_Level1" w:history="1">
        <w:r w:rsidR="00E342BF">
          <w:rPr>
            <w:rFonts w:ascii="黑体" w:eastAsia="黑体" w:hAnsi="黑体" w:cs="黑体" w:hint="eastAsia"/>
            <w:sz w:val="32"/>
            <w:szCs w:val="32"/>
          </w:rPr>
          <w:t>第三部分海口市人才劳动力交流服务中心</w:t>
        </w:r>
        <w:r w:rsidR="00E342BF">
          <w:rPr>
            <w:rFonts w:ascii="黑体" w:eastAsia="黑体" w:hAnsi="ˎ̥" w:hint="eastAsia"/>
            <w:sz w:val="32"/>
            <w:szCs w:val="32"/>
          </w:rPr>
          <w:t>2020年决算情况说明</w:t>
        </w:r>
        <w:r w:rsidR="00E342BF">
          <w:rPr>
            <w:sz w:val="32"/>
            <w:szCs w:val="32"/>
          </w:rPr>
          <w:tab/>
        </w:r>
        <w:r w:rsidR="00E342BF">
          <w:rPr>
            <w:rFonts w:hint="eastAsia"/>
            <w:sz w:val="32"/>
            <w:szCs w:val="32"/>
          </w:rPr>
          <w:t>1</w:t>
        </w:r>
      </w:hyperlink>
      <w:r w:rsidR="00E342BF">
        <w:rPr>
          <w:rFonts w:hint="eastAsia"/>
          <w:sz w:val="32"/>
          <w:szCs w:val="32"/>
        </w:rPr>
        <w:t>1</w:t>
      </w:r>
    </w:p>
    <w:p w:rsidR="00A203C3" w:rsidRDefault="00377AD4">
      <w:pPr>
        <w:pStyle w:val="WPSOffice2"/>
        <w:tabs>
          <w:tab w:val="right" w:leader="dot" w:pos="8306"/>
        </w:tabs>
        <w:ind w:leftChars="0" w:left="0"/>
        <w:rPr>
          <w:rFonts w:ascii="仿宋" w:eastAsia="仿宋" w:hAnsi="仿宋" w:cs="仿宋"/>
          <w:sz w:val="32"/>
          <w:szCs w:val="32"/>
        </w:rPr>
      </w:pPr>
      <w:hyperlink w:anchor="_Toc21737_WPSOffice_Level2" w:history="1">
        <w:r w:rsidR="00E342BF">
          <w:rPr>
            <w:rFonts w:ascii="仿宋" w:eastAsia="仿宋" w:hAnsi="仿宋" w:cs="仿宋" w:hint="eastAsia"/>
            <w:bCs/>
            <w:sz w:val="32"/>
            <w:szCs w:val="32"/>
          </w:rPr>
          <w:t>一、收入支出决算总体情况说明</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1</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二、收入决算情况说明</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2</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三、支出决算情况说明</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2</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四、财政拨款收入支出决算情况说明</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3</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五、一般公共预算财政拨款支出决算情况说明</w:t>
        </w:r>
        <w:r w:rsidR="00E342BF">
          <w:rPr>
            <w:rFonts w:ascii="仿宋" w:eastAsia="仿宋" w:hAnsi="仿宋" w:cs="仿宋" w:hint="eastAsia"/>
            <w:sz w:val="32"/>
            <w:szCs w:val="32"/>
          </w:rPr>
          <w:tab/>
          <w:t>1</w:t>
        </w:r>
      </w:hyperlink>
      <w:r w:rsidR="00E342BF">
        <w:rPr>
          <w:rFonts w:ascii="仿宋" w:eastAsia="仿宋" w:hAnsi="仿宋" w:cs="仿宋" w:hint="eastAsia"/>
          <w:sz w:val="32"/>
          <w:szCs w:val="32"/>
        </w:rPr>
        <w:t>5</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六、一般公共预算财政拨款基本支出决算情况说明</w:t>
        </w:r>
      </w:hyperlink>
      <w:r w:rsidR="00E342BF">
        <w:rPr>
          <w:rFonts w:ascii="仿宋" w:eastAsia="仿宋" w:hAnsi="仿宋" w:cs="仿宋" w:hint="eastAsia"/>
          <w:sz w:val="32"/>
          <w:szCs w:val="32"/>
        </w:rPr>
        <w:tab/>
        <w:t>16</w:t>
      </w:r>
    </w:p>
    <w:p w:rsidR="00A203C3" w:rsidRDefault="00E342BF">
      <w:pPr>
        <w:pStyle w:val="WPSOffice2"/>
        <w:numPr>
          <w:ilvl w:val="0"/>
          <w:numId w:val="2"/>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政府性基金预算财政拨款支出决算情况说明</w:t>
      </w:r>
      <w:r>
        <w:rPr>
          <w:rFonts w:ascii="仿宋" w:eastAsia="仿宋" w:hAnsi="仿宋" w:cs="仿宋" w:hint="eastAsia"/>
          <w:sz w:val="32"/>
          <w:szCs w:val="32"/>
        </w:rPr>
        <w:tab/>
        <w:t>16</w:t>
      </w:r>
    </w:p>
    <w:p w:rsidR="00A203C3" w:rsidRDefault="00E342BF">
      <w:pPr>
        <w:pStyle w:val="WPSOffice2"/>
        <w:numPr>
          <w:ilvl w:val="0"/>
          <w:numId w:val="2"/>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国有资本经营预算财政拨款支出决算情况说明</w:t>
      </w:r>
      <w:r>
        <w:rPr>
          <w:rFonts w:ascii="仿宋" w:eastAsia="仿宋" w:hAnsi="仿宋" w:cs="仿宋" w:hint="eastAsia"/>
          <w:sz w:val="32"/>
          <w:szCs w:val="32"/>
        </w:rPr>
        <w:tab/>
        <w:t>16</w:t>
      </w:r>
    </w:p>
    <w:p w:rsidR="00A203C3" w:rsidRDefault="00377AD4">
      <w:pPr>
        <w:rPr>
          <w:rFonts w:ascii="仿宋" w:eastAsia="仿宋" w:hAnsi="仿宋" w:cs="仿宋"/>
          <w:w w:val="98"/>
          <w:sz w:val="32"/>
          <w:szCs w:val="32"/>
        </w:rPr>
      </w:pPr>
      <w:r w:rsidRPr="00377AD4">
        <w:rPr>
          <w:rFonts w:ascii="仿宋" w:eastAsia="仿宋" w:hAnsi="仿宋" w:cs="仿宋" w:hint="eastAsia"/>
          <w:sz w:val="32"/>
          <w:szCs w:val="32"/>
        </w:rPr>
        <w:fldChar w:fldCharType="begin"/>
      </w:r>
      <w:r w:rsidR="00E342BF">
        <w:rPr>
          <w:rFonts w:ascii="仿宋" w:eastAsia="仿宋" w:hAnsi="仿宋" w:cs="仿宋" w:hint="eastAsia"/>
          <w:sz w:val="32"/>
          <w:szCs w:val="32"/>
        </w:rPr>
        <w:instrText xml:space="preserve"> HYPERLINK \l _Toc5978_WPSOffice_Level2 </w:instrText>
      </w:r>
      <w:r w:rsidRPr="00377AD4">
        <w:rPr>
          <w:rFonts w:ascii="仿宋" w:eastAsia="仿宋" w:hAnsi="仿宋" w:cs="仿宋" w:hint="eastAsia"/>
          <w:sz w:val="32"/>
          <w:szCs w:val="32"/>
        </w:rPr>
        <w:fldChar w:fldCharType="separate"/>
      </w:r>
      <w:r w:rsidR="00E342BF">
        <w:rPr>
          <w:rFonts w:ascii="仿宋" w:eastAsia="仿宋" w:hAnsi="仿宋" w:cs="仿宋" w:hint="eastAsia"/>
          <w:bCs/>
          <w:sz w:val="32"/>
          <w:szCs w:val="32"/>
        </w:rPr>
        <w:t>九、</w:t>
      </w:r>
      <w:r w:rsidR="00E342BF">
        <w:rPr>
          <w:rFonts w:ascii="仿宋" w:eastAsia="仿宋" w:hAnsi="仿宋" w:cs="仿宋" w:hint="eastAsia"/>
          <w:bCs/>
          <w:w w:val="98"/>
          <w:sz w:val="32"/>
          <w:szCs w:val="32"/>
        </w:rPr>
        <w:t>一般公共预算财政拨款“三公”经费支出决算情况说明</w:t>
      </w:r>
    </w:p>
    <w:p w:rsidR="00A203C3" w:rsidRDefault="00E342BF">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77AD4">
        <w:rPr>
          <w:rFonts w:ascii="仿宋" w:eastAsia="仿宋" w:hAnsi="仿宋" w:cs="仿宋" w:hint="eastAsia"/>
          <w:sz w:val="32"/>
          <w:szCs w:val="32"/>
        </w:rPr>
        <w:fldChar w:fldCharType="end"/>
      </w:r>
      <w:r>
        <w:rPr>
          <w:rFonts w:ascii="仿宋" w:eastAsia="仿宋" w:hAnsi="仿宋" w:cs="仿宋" w:hint="eastAsia"/>
          <w:sz w:val="32"/>
          <w:szCs w:val="32"/>
        </w:rPr>
        <w:t>17</w:t>
      </w:r>
    </w:p>
    <w:p w:rsidR="00A203C3" w:rsidRDefault="00377AD4">
      <w:pPr>
        <w:rPr>
          <w:rFonts w:ascii="仿宋" w:eastAsia="仿宋" w:hAnsi="仿宋" w:cs="仿宋"/>
          <w:w w:val="98"/>
          <w:sz w:val="32"/>
          <w:szCs w:val="32"/>
        </w:rPr>
      </w:pPr>
      <w:r w:rsidRPr="00377AD4">
        <w:rPr>
          <w:rFonts w:ascii="仿宋" w:eastAsia="仿宋" w:hAnsi="仿宋" w:cs="仿宋" w:hint="eastAsia"/>
          <w:sz w:val="32"/>
          <w:szCs w:val="32"/>
        </w:rPr>
        <w:fldChar w:fldCharType="begin"/>
      </w:r>
      <w:r w:rsidR="00E342BF">
        <w:rPr>
          <w:rFonts w:ascii="仿宋" w:eastAsia="仿宋" w:hAnsi="仿宋" w:cs="仿宋" w:hint="eastAsia"/>
          <w:sz w:val="32"/>
          <w:szCs w:val="32"/>
        </w:rPr>
        <w:instrText xml:space="preserve"> HYPERLINK \l _Toc5978_WPSOffice_Level2 </w:instrText>
      </w:r>
      <w:r w:rsidRPr="00377AD4">
        <w:rPr>
          <w:rFonts w:ascii="仿宋" w:eastAsia="仿宋" w:hAnsi="仿宋" w:cs="仿宋" w:hint="eastAsia"/>
          <w:sz w:val="32"/>
          <w:szCs w:val="32"/>
        </w:rPr>
        <w:fldChar w:fldCharType="separate"/>
      </w:r>
      <w:r w:rsidR="00E342BF">
        <w:rPr>
          <w:rFonts w:ascii="仿宋" w:eastAsia="仿宋" w:hAnsi="仿宋" w:cs="仿宋" w:hint="eastAsia"/>
          <w:bCs/>
          <w:sz w:val="32"/>
          <w:szCs w:val="32"/>
        </w:rPr>
        <w:t>十、</w:t>
      </w:r>
      <w:r w:rsidR="00E342BF">
        <w:rPr>
          <w:rFonts w:ascii="仿宋" w:eastAsia="仿宋" w:hAnsi="仿宋" w:cs="仿宋" w:hint="eastAsia"/>
          <w:bCs/>
          <w:w w:val="98"/>
          <w:sz w:val="32"/>
          <w:szCs w:val="32"/>
        </w:rPr>
        <w:t>政府性基金预算财政拨款“三公”经费支出决算情况说明</w:t>
      </w:r>
    </w:p>
    <w:p w:rsidR="00A203C3" w:rsidRDefault="00E342BF">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77AD4">
        <w:rPr>
          <w:rFonts w:ascii="仿宋" w:eastAsia="仿宋" w:hAnsi="仿宋" w:cs="仿宋" w:hint="eastAsia"/>
          <w:sz w:val="32"/>
          <w:szCs w:val="32"/>
        </w:rPr>
        <w:fldChar w:fldCharType="end"/>
      </w:r>
      <w:r>
        <w:rPr>
          <w:rFonts w:ascii="仿宋" w:eastAsia="仿宋" w:hAnsi="仿宋" w:cs="仿宋" w:hint="eastAsia"/>
          <w:sz w:val="32"/>
          <w:szCs w:val="32"/>
        </w:rPr>
        <w:t>17</w:t>
      </w:r>
    </w:p>
    <w:p w:rsidR="00A203C3" w:rsidRDefault="00377AD4">
      <w:pPr>
        <w:rPr>
          <w:rFonts w:ascii="仿宋" w:eastAsia="仿宋" w:hAnsi="仿宋" w:cs="仿宋"/>
          <w:w w:val="91"/>
          <w:sz w:val="32"/>
          <w:szCs w:val="32"/>
        </w:rPr>
      </w:pPr>
      <w:r w:rsidRPr="00377AD4">
        <w:rPr>
          <w:rFonts w:ascii="仿宋" w:eastAsia="仿宋" w:hAnsi="仿宋" w:cs="仿宋" w:hint="eastAsia"/>
          <w:sz w:val="32"/>
          <w:szCs w:val="32"/>
        </w:rPr>
        <w:fldChar w:fldCharType="begin"/>
      </w:r>
      <w:r w:rsidR="00E342BF">
        <w:rPr>
          <w:rFonts w:ascii="仿宋" w:eastAsia="仿宋" w:hAnsi="仿宋" w:cs="仿宋" w:hint="eastAsia"/>
          <w:sz w:val="32"/>
          <w:szCs w:val="32"/>
        </w:rPr>
        <w:instrText xml:space="preserve"> HYPERLINK \l _Toc5978_WPSOffice_Level2 </w:instrText>
      </w:r>
      <w:r w:rsidRPr="00377AD4">
        <w:rPr>
          <w:rFonts w:ascii="仿宋" w:eastAsia="仿宋" w:hAnsi="仿宋" w:cs="仿宋" w:hint="eastAsia"/>
          <w:sz w:val="32"/>
          <w:szCs w:val="32"/>
        </w:rPr>
        <w:fldChar w:fldCharType="separate"/>
      </w:r>
      <w:r w:rsidR="00E342BF">
        <w:rPr>
          <w:rFonts w:ascii="仿宋" w:eastAsia="仿宋" w:hAnsi="仿宋" w:cs="仿宋" w:hint="eastAsia"/>
          <w:bCs/>
          <w:w w:val="91"/>
          <w:sz w:val="32"/>
          <w:szCs w:val="32"/>
        </w:rPr>
        <w:t>十一、国有资本经营预算财政拨款“三公”经费支出决算情况说明</w:t>
      </w:r>
    </w:p>
    <w:p w:rsidR="00A203C3" w:rsidRDefault="00E342BF">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377AD4">
        <w:rPr>
          <w:rFonts w:ascii="仿宋" w:eastAsia="仿宋" w:hAnsi="仿宋" w:cs="仿宋" w:hint="eastAsia"/>
          <w:sz w:val="32"/>
          <w:szCs w:val="32"/>
        </w:rPr>
        <w:fldChar w:fldCharType="end"/>
      </w:r>
      <w:r>
        <w:rPr>
          <w:rFonts w:ascii="仿宋" w:eastAsia="仿宋" w:hAnsi="仿宋" w:cs="仿宋" w:hint="eastAsia"/>
          <w:sz w:val="32"/>
          <w:szCs w:val="32"/>
        </w:rPr>
        <w:t>17</w:t>
      </w:r>
    </w:p>
    <w:p w:rsidR="00A203C3" w:rsidRDefault="00377AD4">
      <w:pPr>
        <w:pStyle w:val="WPSOffice2"/>
        <w:tabs>
          <w:tab w:val="right" w:leader="dot" w:pos="8306"/>
        </w:tabs>
        <w:ind w:leftChars="0" w:left="0"/>
        <w:rPr>
          <w:rFonts w:ascii="仿宋" w:eastAsia="仿宋" w:hAnsi="仿宋" w:cs="仿宋"/>
          <w:sz w:val="32"/>
          <w:szCs w:val="32"/>
        </w:rPr>
      </w:pPr>
      <w:hyperlink w:anchor="_Toc19535_WPSOffice_Level2" w:history="1">
        <w:r w:rsidR="00E342BF">
          <w:rPr>
            <w:rFonts w:ascii="仿宋" w:eastAsia="仿宋" w:hAnsi="仿宋" w:cs="仿宋" w:hint="eastAsia"/>
            <w:bCs/>
            <w:sz w:val="32"/>
            <w:szCs w:val="32"/>
          </w:rPr>
          <w:t>十二、预算绩效情况说明</w:t>
        </w:r>
        <w:r w:rsidR="00E342BF">
          <w:rPr>
            <w:rFonts w:ascii="仿宋" w:eastAsia="仿宋" w:hAnsi="仿宋" w:cs="仿宋" w:hint="eastAsia"/>
            <w:sz w:val="32"/>
            <w:szCs w:val="32"/>
          </w:rPr>
          <w:tab/>
        </w:r>
      </w:hyperlink>
      <w:r w:rsidR="00E342BF">
        <w:rPr>
          <w:rFonts w:ascii="仿宋" w:eastAsia="仿宋" w:hAnsi="仿宋" w:cs="仿宋" w:hint="eastAsia"/>
          <w:sz w:val="32"/>
          <w:szCs w:val="32"/>
        </w:rPr>
        <w:t>19</w:t>
      </w:r>
    </w:p>
    <w:p w:rsidR="00A203C3" w:rsidRDefault="00E342BF">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21</w:t>
      </w:r>
    </w:p>
    <w:p w:rsidR="00A203C3" w:rsidRDefault="00377AD4">
      <w:pPr>
        <w:pStyle w:val="WPSOffice1"/>
        <w:tabs>
          <w:tab w:val="right" w:leader="dot" w:pos="8306"/>
        </w:tabs>
        <w:rPr>
          <w:sz w:val="32"/>
          <w:szCs w:val="32"/>
        </w:rPr>
      </w:pPr>
      <w:hyperlink w:anchor="_Toc15425_WPSOffice_Level1" w:history="1">
        <w:r w:rsidR="00E342BF">
          <w:rPr>
            <w:rFonts w:ascii="黑体" w:eastAsia="黑体" w:hAnsi="ˎ̥" w:hint="eastAsia"/>
            <w:sz w:val="32"/>
            <w:szCs w:val="32"/>
          </w:rPr>
          <w:t>第四部分名词解释</w:t>
        </w:r>
        <w:r w:rsidR="00E342BF">
          <w:rPr>
            <w:sz w:val="32"/>
            <w:szCs w:val="32"/>
          </w:rPr>
          <w:tab/>
        </w:r>
        <w:r w:rsidR="00E342BF">
          <w:rPr>
            <w:rFonts w:hint="eastAsia"/>
            <w:sz w:val="32"/>
            <w:szCs w:val="32"/>
          </w:rPr>
          <w:t>2</w:t>
        </w:r>
      </w:hyperlink>
      <w:r w:rsidR="00E342BF">
        <w:rPr>
          <w:rFonts w:hint="eastAsia"/>
          <w:sz w:val="32"/>
          <w:szCs w:val="32"/>
        </w:rPr>
        <w:t>3</w:t>
      </w:r>
    </w:p>
    <w:p w:rsidR="00A203C3" w:rsidRDefault="00A203C3">
      <w:pPr>
        <w:pStyle w:val="20"/>
        <w:tabs>
          <w:tab w:val="right" w:leader="dot" w:pos="8306"/>
        </w:tabs>
        <w:rPr>
          <w:rFonts w:ascii="仿宋_GB2312" w:eastAsia="仿宋_GB2312" w:hAnsi="仿宋_GB2312" w:cs="仿宋_GB2312"/>
          <w:sz w:val="32"/>
          <w:szCs w:val="32"/>
        </w:rPr>
      </w:pPr>
    </w:p>
    <w:p w:rsidR="00A203C3" w:rsidRDefault="00A203C3">
      <w:pPr>
        <w:pStyle w:val="1"/>
        <w:tabs>
          <w:tab w:val="right" w:leader="dot" w:pos="8306"/>
        </w:tabs>
        <w:rPr>
          <w:rFonts w:eastAsia="黑体"/>
        </w:rPr>
      </w:pPr>
    </w:p>
    <w:p w:rsidR="00A203C3" w:rsidRDefault="00377AD4">
      <w:pPr>
        <w:rPr>
          <w:rFonts w:ascii="黑体" w:eastAsia="黑体" w:hAnsi="黑体"/>
          <w:sz w:val="32"/>
          <w:szCs w:val="32"/>
        </w:rPr>
      </w:pPr>
      <w:r>
        <w:rPr>
          <w:rFonts w:ascii="黑体" w:eastAsia="黑体" w:hAnsi="黑体"/>
          <w:sz w:val="52"/>
          <w:szCs w:val="52"/>
        </w:rPr>
        <w:fldChar w:fldCharType="end"/>
      </w:r>
    </w:p>
    <w:p w:rsidR="00A203C3" w:rsidRDefault="00E342BF">
      <w:pPr>
        <w:pStyle w:val="2"/>
        <w:numPr>
          <w:ilvl w:val="1"/>
          <w:numId w:val="0"/>
        </w:numPr>
        <w:spacing w:before="0" w:after="0" w:line="570" w:lineRule="exact"/>
        <w:ind w:left="17" w:firstLineChars="200" w:firstLine="720"/>
        <w:rPr>
          <w:rFonts w:ascii="仿宋_GB2312" w:eastAsia="仿宋_GB2312" w:hAnsi="仿宋_GB2312" w:cs="仿宋_GB2312"/>
          <w:sz w:val="32"/>
          <w:szCs w:val="32"/>
        </w:rPr>
      </w:pPr>
      <w:r>
        <w:rPr>
          <w:rFonts w:ascii="方正小标宋简体" w:eastAsia="方正小标宋简体" w:hAnsi="方正小标宋简体" w:cs="方正小标宋简体" w:hint="eastAsia"/>
          <w:b w:val="0"/>
          <w:bCs/>
          <w:sz w:val="36"/>
          <w:szCs w:val="36"/>
        </w:rPr>
        <w:lastRenderedPageBreak/>
        <w:t>第一部分 海口市人才劳动力交流服务概况</w:t>
      </w:r>
    </w:p>
    <w:p w:rsidR="00A203C3" w:rsidRDefault="00E342BF">
      <w:pPr>
        <w:pStyle w:val="2"/>
        <w:numPr>
          <w:ilvl w:val="1"/>
          <w:numId w:val="0"/>
        </w:numPr>
        <w:spacing w:before="0" w:after="0" w:line="570" w:lineRule="exact"/>
        <w:ind w:left="17" w:firstLineChars="200" w:firstLine="643"/>
        <w:rPr>
          <w:rFonts w:ascii="黑体" w:eastAsia="黑体" w:hAnsi="黑体" w:cs="黑体"/>
          <w:b w:val="0"/>
          <w:bCs/>
        </w:rPr>
      </w:pPr>
      <w:r>
        <w:rPr>
          <w:rFonts w:ascii="黑体" w:eastAsia="黑体" w:hAnsi="黑体" w:cs="黑体" w:hint="eastAsia"/>
          <w:sz w:val="32"/>
          <w:szCs w:val="32"/>
        </w:rPr>
        <w:t>第一部分   海口市人才劳动力交流服务中心</w:t>
      </w:r>
      <w:r>
        <w:rPr>
          <w:rFonts w:ascii="黑体" w:eastAsia="黑体" w:hAnsi="黑体" w:hint="eastAsia"/>
          <w:sz w:val="32"/>
          <w:szCs w:val="32"/>
        </w:rPr>
        <w:t>概况</w:t>
      </w:r>
    </w:p>
    <w:p w:rsidR="00A203C3" w:rsidRDefault="00E342BF">
      <w:pPr>
        <w:pStyle w:val="2"/>
        <w:numPr>
          <w:ilvl w:val="1"/>
          <w:numId w:val="0"/>
        </w:numPr>
        <w:spacing w:before="0" w:after="0" w:line="570" w:lineRule="exact"/>
        <w:ind w:firstLineChars="300" w:firstLine="900"/>
        <w:rPr>
          <w:rFonts w:ascii="黑体" w:eastAsia="黑体" w:hAnsi="黑体" w:cs="黑体"/>
          <w:b w:val="0"/>
          <w:bCs/>
        </w:rPr>
      </w:pPr>
      <w:r>
        <w:rPr>
          <w:rFonts w:ascii="黑体" w:eastAsia="黑体" w:hAnsi="黑体" w:cs="黑体" w:hint="eastAsia"/>
          <w:b w:val="0"/>
          <w:bCs/>
        </w:rPr>
        <w:t>一、主要职能</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（一）贯彻执行国家、省、市有关人才劳动力交流、大中专毕业生就业、人才引进、留学人员回国创业的政策、法规。</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（二）建立人才信息库，发布人才供需信息，为供需双方提供服务。</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（三）组织全市性大型人才劳动力交流会、大中专毕业生供需见面会及其他专题招聘会。</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（四）负责办理招聘招考、求职登记、职业介绍、择业指导、招聘广告审核等。</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（五）做好人才劳动力市场政策咨询，开展就业指导，受理用人单位空岗报告。</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（六）开展人事劳动事务代理，接受用人单位或大中专毕业生、流动（灵活）就业人员个人委托代管人事档案，向有关单位提供借阅、查询服务。</w:t>
      </w:r>
    </w:p>
    <w:p w:rsidR="00A203C3" w:rsidRDefault="00E342BF">
      <w:pPr>
        <w:pStyle w:val="2"/>
        <w:numPr>
          <w:ilvl w:val="1"/>
          <w:numId w:val="0"/>
        </w:numPr>
        <w:spacing w:before="0" w:after="0" w:line="570" w:lineRule="exact"/>
        <w:ind w:left="17" w:firstLineChars="200" w:firstLine="640"/>
        <w:rPr>
          <w:rFonts w:ascii="仿宋" w:hAnsi="仿宋" w:cs="仿宋"/>
          <w:b w:val="0"/>
          <w:bCs/>
          <w:sz w:val="32"/>
          <w:szCs w:val="32"/>
        </w:rPr>
      </w:pPr>
      <w:r>
        <w:rPr>
          <w:rFonts w:ascii="仿宋" w:hAnsi="仿宋" w:cs="仿宋" w:hint="eastAsia"/>
          <w:b w:val="0"/>
          <w:bCs/>
          <w:sz w:val="32"/>
          <w:szCs w:val="32"/>
        </w:rPr>
        <w:t>（七）为委托代理人员办理转正定级、工资调整及发放、职称申报、出境政审、社会保险、户关系、党（团）组织关系、代办退休等事宜。</w:t>
      </w:r>
    </w:p>
    <w:p w:rsidR="00A203C3" w:rsidRDefault="00E342BF">
      <w:pPr>
        <w:pStyle w:val="2"/>
        <w:numPr>
          <w:ilvl w:val="1"/>
          <w:numId w:val="0"/>
        </w:numPr>
        <w:spacing w:before="0" w:after="0" w:line="570" w:lineRule="exact"/>
        <w:ind w:left="17"/>
        <w:rPr>
          <w:rFonts w:ascii="仿宋" w:hAnsi="仿宋" w:cs="仿宋"/>
          <w:b w:val="0"/>
          <w:bCs/>
          <w:sz w:val="32"/>
          <w:szCs w:val="32"/>
        </w:rPr>
      </w:pPr>
      <w:r>
        <w:rPr>
          <w:rFonts w:ascii="仿宋" w:hAnsi="仿宋" w:cs="仿宋" w:hint="eastAsia"/>
          <w:b w:val="0"/>
          <w:bCs/>
          <w:sz w:val="32"/>
          <w:szCs w:val="32"/>
        </w:rPr>
        <w:t xml:space="preserve">    （八）完成上级主管部门交办的其他工作。</w:t>
      </w:r>
    </w:p>
    <w:p w:rsidR="00A203C3" w:rsidRDefault="00E342BF">
      <w:pPr>
        <w:pStyle w:val="2"/>
        <w:numPr>
          <w:ilvl w:val="1"/>
          <w:numId w:val="0"/>
        </w:numPr>
        <w:spacing w:before="0" w:after="0" w:line="570" w:lineRule="exact"/>
        <w:ind w:left="17"/>
        <w:rPr>
          <w:rFonts w:ascii="黑体" w:eastAsia="黑体" w:hAnsi="黑体" w:cs="黑体"/>
          <w:b w:val="0"/>
          <w:bCs/>
          <w:sz w:val="32"/>
          <w:szCs w:val="32"/>
        </w:rPr>
      </w:pPr>
      <w:r>
        <w:rPr>
          <w:rFonts w:ascii="黑体" w:eastAsia="黑体" w:hAnsi="黑体" w:cs="黑体" w:hint="eastAsia"/>
          <w:b w:val="0"/>
          <w:bCs/>
          <w:sz w:val="32"/>
          <w:szCs w:val="32"/>
        </w:rPr>
        <w:t>二、机构设置</w:t>
      </w:r>
    </w:p>
    <w:p w:rsidR="00570742" w:rsidRPr="00570742" w:rsidRDefault="00E342BF" w:rsidP="00570742">
      <w:pPr>
        <w:ind w:firstLineChars="200" w:firstLine="640"/>
        <w:rPr>
          <w:rFonts w:ascii="仿宋_GB2312" w:eastAsia="仿宋_GB2312" w:hAnsi="ˎ̥"/>
          <w:sz w:val="32"/>
          <w:szCs w:val="32"/>
        </w:rPr>
      </w:pPr>
      <w:r>
        <w:rPr>
          <w:rFonts w:ascii="仿宋_GB2312" w:eastAsia="仿宋_GB2312" w:hAnsi="仿宋_GB2312" w:cs="仿宋_GB2312" w:hint="eastAsia"/>
          <w:bCs/>
          <w:sz w:val="32"/>
          <w:szCs w:val="32"/>
        </w:rPr>
        <w:t>本单位为海口市人力资源开发局（海口市就业局）下属单位，为正科级全额拨款事业单位，我单位没有内设机构。</w:t>
      </w:r>
    </w:p>
    <w:p w:rsidR="00A203C3" w:rsidRPr="00570742" w:rsidRDefault="00A203C3">
      <w:pPr>
        <w:pStyle w:val="2"/>
        <w:numPr>
          <w:ilvl w:val="1"/>
          <w:numId w:val="0"/>
        </w:numPr>
        <w:spacing w:before="0" w:after="0" w:line="570" w:lineRule="exact"/>
        <w:ind w:left="17" w:firstLineChars="200" w:firstLine="640"/>
        <w:rPr>
          <w:rFonts w:ascii="仿宋_GB2312" w:eastAsia="仿宋_GB2312" w:hAnsi="仿宋_GB2312" w:cs="仿宋_GB2312"/>
          <w:b w:val="0"/>
          <w:bCs/>
          <w:sz w:val="32"/>
          <w:szCs w:val="32"/>
        </w:rPr>
      </w:pPr>
    </w:p>
    <w:p w:rsidR="00A203C3" w:rsidRDefault="00E342BF">
      <w:pPr>
        <w:jc w:val="center"/>
        <w:rPr>
          <w:rFonts w:ascii="黑体" w:eastAsia="黑体" w:hAnsi="黑体"/>
          <w:sz w:val="32"/>
        </w:rPr>
      </w:pPr>
      <w:r>
        <w:rPr>
          <w:rFonts w:ascii="黑体" w:eastAsia="黑体" w:hAnsi="黑体" w:hint="eastAsia"/>
          <w:sz w:val="32"/>
          <w:szCs w:val="32"/>
        </w:rPr>
        <w:t>第二部分</w:t>
      </w:r>
      <w:r>
        <w:rPr>
          <w:rFonts w:ascii="黑体" w:eastAsia="黑体" w:hAnsi="黑体" w:cs="黑体" w:hint="eastAsia"/>
          <w:sz w:val="32"/>
          <w:szCs w:val="32"/>
        </w:rPr>
        <w:t>海口市人才劳动力交流服务中心</w:t>
      </w:r>
      <w:r>
        <w:rPr>
          <w:rFonts w:ascii="黑体" w:eastAsia="黑体" w:hAnsi="黑体" w:cs="黑体"/>
          <w:sz w:val="32"/>
          <w:szCs w:val="32"/>
        </w:rPr>
        <w:t>2020</w:t>
      </w:r>
      <w:r>
        <w:rPr>
          <w:rFonts w:ascii="黑体" w:eastAsia="黑体" w:hAnsi="黑体" w:hint="eastAsia"/>
          <w:sz w:val="32"/>
        </w:rPr>
        <w:t>年决算</w:t>
      </w:r>
    </w:p>
    <w:p w:rsidR="00A203C3" w:rsidRDefault="00E342BF">
      <w:pPr>
        <w:jc w:val="center"/>
        <w:rPr>
          <w:rFonts w:ascii="黑体" w:eastAsia="黑体" w:hAnsi="黑体"/>
          <w:sz w:val="32"/>
          <w:szCs w:val="32"/>
        </w:rPr>
      </w:pPr>
      <w:r>
        <w:rPr>
          <w:rFonts w:ascii="黑体" w:eastAsia="黑体" w:hAnsi="黑体" w:hint="eastAsia"/>
          <w:sz w:val="32"/>
        </w:rPr>
        <w:t>公开</w:t>
      </w:r>
      <w:r>
        <w:rPr>
          <w:rFonts w:ascii="黑体" w:eastAsia="黑体" w:hAnsi="黑体" w:hint="eastAsia"/>
          <w:sz w:val="32"/>
          <w:szCs w:val="32"/>
        </w:rPr>
        <w:t>表</w:t>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664835" cy="3238500"/>
            <wp:effectExtent l="0" t="0" r="12065" b="0"/>
            <wp:docPr id="1" name="图片 1" descr="C:\Users\lenovo\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1.png1"/>
                    <pic:cNvPicPr>
                      <a:picLocks noChangeAspect="1"/>
                    </pic:cNvPicPr>
                  </pic:nvPicPr>
                  <pic:blipFill>
                    <a:blip r:embed="rId8"/>
                    <a:srcRect/>
                    <a:stretch>
                      <a:fillRect/>
                    </a:stretch>
                  </pic:blipFill>
                  <pic:spPr>
                    <a:xfrm>
                      <a:off x="0" y="0"/>
                      <a:ext cx="5664835" cy="3238500"/>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lastRenderedPageBreak/>
        <w:drawing>
          <wp:inline distT="0" distB="0" distL="114300" distR="114300">
            <wp:extent cx="5226050" cy="4030980"/>
            <wp:effectExtent l="0" t="0" r="12700" b="7620"/>
            <wp:docPr id="2" name="图片 2" descr="D:\冯慧婷工作夹\人社预算\2021年\09.23\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冯慧婷工作夹\人社预算\2021年\09.23\2.png2"/>
                    <pic:cNvPicPr>
                      <a:picLocks noChangeAspect="1"/>
                    </pic:cNvPicPr>
                  </pic:nvPicPr>
                  <pic:blipFill>
                    <a:blip r:embed="rId9"/>
                    <a:srcRect/>
                    <a:stretch>
                      <a:fillRect/>
                    </a:stretch>
                  </pic:blipFill>
                  <pic:spPr>
                    <a:xfrm>
                      <a:off x="0" y="0"/>
                      <a:ext cx="5226050" cy="4030980"/>
                    </a:xfrm>
                    <a:prstGeom prst="rect">
                      <a:avLst/>
                    </a:prstGeom>
                  </pic:spPr>
                </pic:pic>
              </a:graphicData>
            </a:graphic>
          </wp:inline>
        </w:drawing>
      </w: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269230" cy="3999865"/>
            <wp:effectExtent l="0" t="0" r="7620" b="635"/>
            <wp:docPr id="3" name="图片 3" descr="D:\冯慧婷工作夹\人社预算\2021年\09.23\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冯慧婷工作夹\人社预算\2021年\09.23\3.png3"/>
                    <pic:cNvPicPr>
                      <a:picLocks noChangeAspect="1"/>
                    </pic:cNvPicPr>
                  </pic:nvPicPr>
                  <pic:blipFill>
                    <a:blip r:embed="rId10"/>
                    <a:srcRect/>
                    <a:stretch>
                      <a:fillRect/>
                    </a:stretch>
                  </pic:blipFill>
                  <pic:spPr>
                    <a:xfrm>
                      <a:off x="0" y="0"/>
                      <a:ext cx="5269230" cy="3999865"/>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lastRenderedPageBreak/>
        <w:drawing>
          <wp:inline distT="0" distB="0" distL="114300" distR="114300">
            <wp:extent cx="5265420" cy="2533650"/>
            <wp:effectExtent l="0" t="0" r="11430" b="0"/>
            <wp:docPr id="4" name="图片 4" descr="C:\Users\lenovo\Desktop\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4.png4"/>
                    <pic:cNvPicPr>
                      <a:picLocks noChangeAspect="1"/>
                    </pic:cNvPicPr>
                  </pic:nvPicPr>
                  <pic:blipFill>
                    <a:blip r:embed="rId11"/>
                    <a:srcRect/>
                    <a:stretch>
                      <a:fillRect/>
                    </a:stretch>
                  </pic:blipFill>
                  <pic:spPr>
                    <a:xfrm>
                      <a:off x="0" y="0"/>
                      <a:ext cx="5265420" cy="2533650"/>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257165" cy="3822065"/>
            <wp:effectExtent l="0" t="0" r="635" b="6985"/>
            <wp:docPr id="5" name="图片 5" descr="D:\冯慧婷工作夹\人社预算\2021年\09.23\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冯慧婷工作夹\人社预算\2021年\09.23\5.png5"/>
                    <pic:cNvPicPr>
                      <a:picLocks noChangeAspect="1"/>
                    </pic:cNvPicPr>
                  </pic:nvPicPr>
                  <pic:blipFill>
                    <a:blip r:embed="rId12"/>
                    <a:srcRect/>
                    <a:stretch>
                      <a:fillRect/>
                    </a:stretch>
                  </pic:blipFill>
                  <pic:spPr>
                    <a:xfrm>
                      <a:off x="0" y="0"/>
                      <a:ext cx="5257165" cy="3822065"/>
                    </a:xfrm>
                    <a:prstGeom prst="rect">
                      <a:avLst/>
                    </a:prstGeom>
                  </pic:spPr>
                </pic:pic>
              </a:graphicData>
            </a:graphic>
          </wp:inline>
        </w:drawing>
      </w:r>
    </w:p>
    <w:p w:rsidR="00A203C3" w:rsidRDefault="00E342BF">
      <w:pPr>
        <w:rPr>
          <w:rFonts w:ascii="黑体" w:eastAsia="黑体" w:hAnsi="黑体"/>
          <w:sz w:val="32"/>
          <w:szCs w:val="32"/>
        </w:rPr>
      </w:pPr>
      <w:r>
        <w:rPr>
          <w:rFonts w:ascii="黑体" w:eastAsia="黑体" w:hAnsi="黑体" w:hint="eastAsia"/>
          <w:noProof/>
          <w:sz w:val="32"/>
          <w:szCs w:val="32"/>
        </w:rPr>
        <w:lastRenderedPageBreak/>
        <w:drawing>
          <wp:inline distT="0" distB="0" distL="114300" distR="114300">
            <wp:extent cx="5429250" cy="3406775"/>
            <wp:effectExtent l="0" t="0" r="0" b="3175"/>
            <wp:docPr id="6" name="图片 6" descr="C:\Users\lenovo\Desktop\6.p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6.png6"/>
                    <pic:cNvPicPr>
                      <a:picLocks noChangeAspect="1"/>
                    </pic:cNvPicPr>
                  </pic:nvPicPr>
                  <pic:blipFill>
                    <a:blip r:embed="rId13"/>
                    <a:srcRect/>
                    <a:stretch>
                      <a:fillRect/>
                    </a:stretch>
                  </pic:blipFill>
                  <pic:spPr>
                    <a:xfrm>
                      <a:off x="0" y="0"/>
                      <a:ext cx="5429250" cy="3406775"/>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269230" cy="2738755"/>
            <wp:effectExtent l="0" t="0" r="7620" b="4445"/>
            <wp:docPr id="7" name="图片 7" descr="C:\Users\lenovo\Desktop\7.p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esktop\7.png7"/>
                    <pic:cNvPicPr>
                      <a:picLocks noChangeAspect="1"/>
                    </pic:cNvPicPr>
                  </pic:nvPicPr>
                  <pic:blipFill>
                    <a:blip r:embed="rId14"/>
                    <a:srcRect/>
                    <a:stretch>
                      <a:fillRect/>
                    </a:stretch>
                  </pic:blipFill>
                  <pic:spPr>
                    <a:xfrm>
                      <a:off x="0" y="0"/>
                      <a:ext cx="5269230" cy="2738755"/>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lastRenderedPageBreak/>
        <w:drawing>
          <wp:inline distT="0" distB="0" distL="114300" distR="114300">
            <wp:extent cx="5270500" cy="3659505"/>
            <wp:effectExtent l="0" t="0" r="6350" b="17145"/>
            <wp:docPr id="8" name="图片 8" descr="C:\Users\lenovo\Desktop\8.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8.png8"/>
                    <pic:cNvPicPr>
                      <a:picLocks noChangeAspect="1"/>
                    </pic:cNvPicPr>
                  </pic:nvPicPr>
                  <pic:blipFill>
                    <a:blip r:embed="rId15"/>
                    <a:srcRect/>
                    <a:stretch>
                      <a:fillRect/>
                    </a:stretch>
                  </pic:blipFill>
                  <pic:spPr>
                    <a:xfrm>
                      <a:off x="0" y="0"/>
                      <a:ext cx="5270500" cy="3659505"/>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261610" cy="1985645"/>
            <wp:effectExtent l="0" t="0" r="15240" b="14605"/>
            <wp:docPr id="9" name="图片 9" descr="C:\Users\lenovo\Desktop\9.p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Desktop\9.png9"/>
                    <pic:cNvPicPr>
                      <a:picLocks noChangeAspect="1"/>
                    </pic:cNvPicPr>
                  </pic:nvPicPr>
                  <pic:blipFill>
                    <a:blip r:embed="rId16"/>
                    <a:srcRect/>
                    <a:stretch>
                      <a:fillRect/>
                    </a:stretch>
                  </pic:blipFill>
                  <pic:spPr>
                    <a:xfrm>
                      <a:off x="0" y="0"/>
                      <a:ext cx="5261610" cy="1985645"/>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rPr>
          <w:rFonts w:ascii="黑体" w:eastAsia="黑体" w:hAnsi="黑体"/>
          <w:sz w:val="32"/>
          <w:szCs w:val="32"/>
        </w:rPr>
      </w:pPr>
      <w:r>
        <w:rPr>
          <w:rFonts w:ascii="黑体" w:eastAsia="黑体" w:hAnsi="黑体" w:hint="eastAsia"/>
          <w:noProof/>
          <w:sz w:val="32"/>
          <w:szCs w:val="32"/>
        </w:rPr>
        <w:drawing>
          <wp:inline distT="0" distB="0" distL="114300" distR="114300">
            <wp:extent cx="5226050" cy="1990725"/>
            <wp:effectExtent l="0" t="0" r="12700" b="9525"/>
            <wp:docPr id="11" name="图片 11" descr="C:\Users\lenovo\Desktop\10.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10.png10"/>
                    <pic:cNvPicPr>
                      <a:picLocks noChangeAspect="1"/>
                    </pic:cNvPicPr>
                  </pic:nvPicPr>
                  <pic:blipFill>
                    <a:blip r:embed="rId17"/>
                    <a:srcRect/>
                    <a:stretch>
                      <a:fillRect/>
                    </a:stretch>
                  </pic:blipFill>
                  <pic:spPr>
                    <a:xfrm>
                      <a:off x="0" y="0"/>
                      <a:ext cx="5226050" cy="1990725"/>
                    </a:xfrm>
                    <a:prstGeom prst="rect">
                      <a:avLst/>
                    </a:prstGeom>
                  </pic:spPr>
                </pic:pic>
              </a:graphicData>
            </a:graphic>
          </wp:inline>
        </w:drawing>
      </w:r>
    </w:p>
    <w:p w:rsidR="00A203C3" w:rsidRDefault="00E342BF">
      <w:pPr>
        <w:rPr>
          <w:rFonts w:ascii="黑体" w:eastAsia="黑体" w:hAnsi="黑体"/>
          <w:sz w:val="32"/>
          <w:szCs w:val="32"/>
        </w:rPr>
      </w:pPr>
      <w:r>
        <w:rPr>
          <w:rFonts w:ascii="黑体" w:eastAsia="黑体" w:hAnsi="黑体" w:hint="eastAsia"/>
          <w:noProof/>
          <w:sz w:val="32"/>
          <w:szCs w:val="32"/>
        </w:rPr>
        <w:lastRenderedPageBreak/>
        <w:drawing>
          <wp:inline distT="0" distB="0" distL="114300" distR="114300">
            <wp:extent cx="5234940" cy="1986280"/>
            <wp:effectExtent l="0" t="0" r="3810" b="13970"/>
            <wp:docPr id="13" name="图片 13" descr="C:\Users\lenovo\Desktop\11.pn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Desktop\11.png11"/>
                    <pic:cNvPicPr>
                      <a:picLocks noChangeAspect="1"/>
                    </pic:cNvPicPr>
                  </pic:nvPicPr>
                  <pic:blipFill>
                    <a:blip r:embed="rId18"/>
                    <a:srcRect/>
                    <a:stretch>
                      <a:fillRect/>
                    </a:stretch>
                  </pic:blipFill>
                  <pic:spPr>
                    <a:xfrm>
                      <a:off x="0" y="0"/>
                      <a:ext cx="5234940" cy="1986280"/>
                    </a:xfrm>
                    <a:prstGeom prst="rect">
                      <a:avLst/>
                    </a:prstGeom>
                  </pic:spPr>
                </pic:pic>
              </a:graphicData>
            </a:graphic>
          </wp:inline>
        </w:drawing>
      </w:r>
    </w:p>
    <w:p w:rsidR="00A203C3" w:rsidRDefault="00A203C3">
      <w:pPr>
        <w:rPr>
          <w:rFonts w:ascii="黑体" w:eastAsia="黑体" w:hAnsi="黑体"/>
          <w:sz w:val="32"/>
          <w:szCs w:val="32"/>
        </w:rPr>
      </w:pPr>
    </w:p>
    <w:p w:rsidR="00A203C3" w:rsidRDefault="00E342BF">
      <w:pPr>
        <w:jc w:val="center"/>
        <w:rPr>
          <w:rFonts w:ascii="黑体" w:eastAsia="黑体" w:hAnsi="黑体" w:cs="黑体"/>
          <w:color w:val="000000"/>
          <w:kern w:val="0"/>
          <w:sz w:val="32"/>
          <w:szCs w:val="30"/>
        </w:rPr>
      </w:pPr>
      <w:r>
        <w:rPr>
          <w:rFonts w:ascii="黑体" w:eastAsia="黑体" w:hAnsi="黑体" w:hint="eastAsia"/>
          <w:sz w:val="32"/>
          <w:szCs w:val="32"/>
        </w:rPr>
        <w:t xml:space="preserve"> 第三部分</w:t>
      </w:r>
      <w:r>
        <w:rPr>
          <w:rFonts w:ascii="黑体" w:eastAsia="黑体" w:hAnsi="黑体" w:cs="黑体" w:hint="eastAsia"/>
          <w:color w:val="000000"/>
          <w:kern w:val="0"/>
          <w:sz w:val="32"/>
          <w:szCs w:val="30"/>
        </w:rPr>
        <w:t>海口市人才劳动力交流服务中心2020年决算</w:t>
      </w:r>
    </w:p>
    <w:p w:rsidR="00A203C3" w:rsidRDefault="00E342BF">
      <w:pPr>
        <w:jc w:val="center"/>
        <w:rPr>
          <w:rFonts w:ascii="黑体" w:eastAsia="黑体" w:hAnsi="黑体"/>
          <w:sz w:val="32"/>
          <w:szCs w:val="32"/>
        </w:rPr>
      </w:pPr>
      <w:r>
        <w:rPr>
          <w:rFonts w:ascii="黑体" w:eastAsia="黑体" w:hAnsi="黑体" w:hint="eastAsia"/>
          <w:sz w:val="32"/>
          <w:szCs w:val="32"/>
        </w:rPr>
        <w:t>情况说明</w:t>
      </w:r>
    </w:p>
    <w:p w:rsidR="00A203C3" w:rsidRDefault="00E342BF">
      <w:pPr>
        <w:numPr>
          <w:ilvl w:val="0"/>
          <w:numId w:val="3"/>
        </w:numPr>
        <w:ind w:leftChars="304" w:left="638"/>
        <w:rPr>
          <w:rFonts w:ascii="仿宋_GB2312" w:eastAsia="仿宋_GB2312" w:hAnsi="ˎ̥"/>
          <w:sz w:val="32"/>
          <w:szCs w:val="32"/>
        </w:rPr>
      </w:pPr>
      <w:r>
        <w:rPr>
          <w:rFonts w:ascii="黑体" w:eastAsia="黑体" w:hAnsi="黑体" w:cs="黑体" w:hint="eastAsia"/>
          <w:bCs/>
          <w:sz w:val="32"/>
          <w:szCs w:val="32"/>
        </w:rPr>
        <w:t>收入支出决算总体情况说明</w:t>
      </w:r>
      <w:r>
        <w:rPr>
          <w:rFonts w:ascii="黑体" w:eastAsia="黑体" w:hAnsi="黑体" w:cs="黑体" w:hint="eastAsia"/>
          <w:bCs/>
          <w:sz w:val="32"/>
          <w:szCs w:val="32"/>
        </w:rPr>
        <w:br/>
      </w:r>
      <w:r>
        <w:rPr>
          <w:rFonts w:ascii="楷体_GB2312" w:eastAsia="楷体_GB2312" w:hAnsi="ˎ̥" w:hint="eastAsia"/>
          <w:sz w:val="32"/>
          <w:szCs w:val="32"/>
        </w:rPr>
        <w:t>海口市人才劳动力交流服务中心</w:t>
      </w:r>
      <w:r>
        <w:rPr>
          <w:rFonts w:ascii="仿宋_GB2312" w:eastAsia="仿宋_GB2312" w:hAnsi="ˎ̥" w:hint="eastAsia"/>
          <w:sz w:val="32"/>
          <w:szCs w:val="32"/>
        </w:rPr>
        <w:t>2020年度收入401万元，与2019年度相比，收入减少46.61万元，下降10.41%，主要原因是一般性支出压减控制造成收入减少。2020年度支出398.31，与2019年度相比，支出减少49.34万元，减少11%。主要原因一般性支出压减控制造成支出减少。2020年年初结转结余2.48万元，2019年年初结转结余2.52万元，较2019年度决算数减少0.04万元，减少1.58%，主要原因是支付银行手续费。2020年结余分配2.78万元。2019年结余分配0万元。2020年末结转结余2.38万元，2019年年末结转结余2.48万元，较2019年度决算数减少0.1万元，下降4.03%，主要原因是辞职公务人员辞退费用。（2020年度相关决算数据，可取自附件</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01表；2019年</w:t>
      </w:r>
      <w:r>
        <w:rPr>
          <w:rFonts w:ascii="仿宋_GB2312" w:eastAsia="仿宋_GB2312" w:hAnsi="ˎ̥" w:hint="eastAsia"/>
          <w:sz w:val="32"/>
          <w:szCs w:val="32"/>
        </w:rPr>
        <w:lastRenderedPageBreak/>
        <w:t>度相关决算数据可取自2019年度部门决算</w:t>
      </w:r>
      <w:proofErr w:type="gramStart"/>
      <w:r>
        <w:rPr>
          <w:rFonts w:ascii="仿宋_GB2312" w:eastAsia="仿宋_GB2312" w:hAnsi="ˎ̥" w:hint="eastAsia"/>
          <w:sz w:val="32"/>
          <w:szCs w:val="32"/>
        </w:rPr>
        <w:t>报表财决</w:t>
      </w:r>
      <w:proofErr w:type="gramEnd"/>
      <w:r>
        <w:rPr>
          <w:rFonts w:ascii="仿宋_GB2312" w:eastAsia="仿宋_GB2312" w:hAnsi="ˎ̥" w:hint="eastAsia"/>
          <w:sz w:val="32"/>
          <w:szCs w:val="32"/>
        </w:rPr>
        <w:t>01表《收入支出决算总表》。）</w:t>
      </w:r>
    </w:p>
    <w:p w:rsidR="00A203C3" w:rsidRDefault="00A203C3">
      <w:pPr>
        <w:ind w:leftChars="304" w:left="638"/>
        <w:jc w:val="left"/>
        <w:rPr>
          <w:rFonts w:ascii="仿宋" w:eastAsia="仿宋" w:hAnsi="仿宋" w:cs="仿宋"/>
          <w:sz w:val="32"/>
          <w:szCs w:val="32"/>
        </w:rPr>
      </w:pPr>
      <w:bookmarkStart w:id="0" w:name="_GoBack"/>
      <w:bookmarkEnd w:id="0"/>
    </w:p>
    <w:p w:rsidR="00A203C3" w:rsidRDefault="00E342BF">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本年收入合计401万元，其中：财政拨款收入397.54万元，占99.14%；上级补助收入0万元，占0%；事业收入0万元，占0%；经营收入0万元，占0%；附属单位上缴收入0万元，占0%；其他收入3.46万元，占0.86%。</w:t>
      </w:r>
    </w:p>
    <w:p w:rsidR="00A203C3" w:rsidRDefault="00E342BF">
      <w:pPr>
        <w:ind w:leftChars="196" w:left="412"/>
        <w:rPr>
          <w:rFonts w:ascii="仿宋_GB2312" w:eastAsia="仿宋_GB2312" w:hAnsi="ˎ̥"/>
          <w:sz w:val="32"/>
          <w:szCs w:val="32"/>
        </w:rPr>
      </w:pPr>
      <w:r>
        <w:rPr>
          <w:rFonts w:ascii="仿宋_GB2312" w:eastAsia="仿宋_GB2312" w:hAnsi="ˎ̥" w:hint="eastAsia"/>
          <w:sz w:val="32"/>
          <w:szCs w:val="32"/>
        </w:rPr>
        <w:t xml:space="preserve">  （上述各项收入数字可取自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02表）</w:t>
      </w:r>
    </w:p>
    <w:p w:rsidR="00A203C3" w:rsidRDefault="00E342BF">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本年支出合计398.31万元，其中：基本支出218.3万元，占54.8%；项目支出180.02万元，占45.2%；上缴上级支出0万元，占0%；经营支出0万元，占0%；对附属单位补助支出0万元，占0%。</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03表。）</w:t>
      </w:r>
    </w:p>
    <w:p w:rsidR="00A203C3" w:rsidRDefault="00E342BF">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财政拨款收入397.54万元，与2019年度相比，财政拨款收入减少50.07万元，下降11.18%，主要原因是一般性支出压减控制造成收入减少。2020年度财政拨款支出总计397.54万元。与2019年度相比，财政拨款支出下降50.07万元，减少11.18%。主要原因是一般性支出压减控制造成支出减少。2020年度支出与2019年度支出一致。</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lastRenderedPageBreak/>
        <w:t>2020年财政拨款年初结转结余0万元，2019年年初结转结余0万元。</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2020年财政拨款年末结转结余0万元，主要原因是2020年末结转结余财政已收回国库。</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（2020年度决算相关数据取自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04表。2019年度决算相关数据可取自2019年度部门决算</w:t>
      </w:r>
      <w:proofErr w:type="gramStart"/>
      <w:r>
        <w:rPr>
          <w:rFonts w:ascii="仿宋_GB2312" w:eastAsia="仿宋_GB2312" w:hAnsi="ˎ̥" w:hint="eastAsia"/>
          <w:sz w:val="32"/>
          <w:szCs w:val="32"/>
        </w:rPr>
        <w:t>报表财决</w:t>
      </w:r>
      <w:proofErr w:type="gramEnd"/>
      <w:r>
        <w:rPr>
          <w:rFonts w:ascii="仿宋_GB2312" w:eastAsia="仿宋_GB2312" w:hAnsi="ˎ̥" w:hint="eastAsia"/>
          <w:sz w:val="32"/>
          <w:szCs w:val="32"/>
        </w:rPr>
        <w:t>01-1表《财政拨款收入支出决算总表》。）</w:t>
      </w:r>
    </w:p>
    <w:p w:rsidR="00A203C3" w:rsidRDefault="00E342BF">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A203C3" w:rsidRDefault="00E342BF">
      <w:pPr>
        <w:ind w:firstLineChars="200" w:firstLine="640"/>
        <w:rPr>
          <w:rFonts w:ascii="楷体" w:eastAsia="楷体" w:hAnsi="楷体" w:cs="楷体"/>
          <w:sz w:val="32"/>
          <w:szCs w:val="32"/>
        </w:rPr>
      </w:pPr>
      <w:bookmarkStart w:id="1" w:name="_Toc13694_WPSOffice_Level2"/>
      <w:bookmarkStart w:id="2" w:name="_Toc17398_WPSOffice_Level2"/>
      <w:bookmarkStart w:id="3" w:name="_Toc21737_WPSOffice_Level2"/>
      <w:bookmarkStart w:id="4" w:name="_Toc9989_WPSOffice_Level2"/>
      <w:bookmarkStart w:id="5" w:name="_Toc23005_WPSOffice_Level2"/>
      <w:bookmarkStart w:id="6" w:name="_Toc19665_WPSOffice_Level2"/>
      <w:r>
        <w:rPr>
          <w:rFonts w:ascii="楷体" w:eastAsia="楷体" w:hAnsi="楷体" w:cs="楷体" w:hint="eastAsia"/>
          <w:sz w:val="32"/>
          <w:szCs w:val="32"/>
        </w:rPr>
        <w:t>（一）一般公共预算财政拨款支出决算总体情况</w:t>
      </w:r>
      <w:bookmarkEnd w:id="1"/>
      <w:bookmarkEnd w:id="2"/>
      <w:r>
        <w:rPr>
          <w:rFonts w:ascii="楷体" w:eastAsia="楷体" w:hAnsi="楷体" w:cs="楷体" w:hint="eastAsia"/>
          <w:sz w:val="32"/>
          <w:szCs w:val="32"/>
        </w:rPr>
        <w:t>。</w:t>
      </w:r>
      <w:bookmarkEnd w:id="3"/>
      <w:bookmarkEnd w:id="4"/>
      <w:bookmarkEnd w:id="5"/>
      <w:bookmarkEnd w:id="6"/>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2020年度一般公共预算财政拨款支出397.54万元，占本年支出合计的99.81%。与2019年度相比，一般公共预算财政拨款支出减少50.07万元，减少11.18%，2020年度支出与2019年度支出相差不大。</w:t>
      </w:r>
    </w:p>
    <w:p w:rsidR="00A203C3" w:rsidRDefault="00E342BF">
      <w:pPr>
        <w:ind w:firstLineChars="200" w:firstLine="640"/>
        <w:rPr>
          <w:rFonts w:ascii="楷体" w:eastAsia="楷体" w:hAnsi="楷体" w:cs="楷体"/>
          <w:sz w:val="32"/>
          <w:szCs w:val="32"/>
        </w:rPr>
      </w:pPr>
      <w:bookmarkStart w:id="7" w:name="_Toc18793_WPSOffice_Level2"/>
      <w:bookmarkStart w:id="8" w:name="_Toc2711_WPSOffice_Level2"/>
      <w:bookmarkStart w:id="9" w:name="_Toc27767_WPSOffice_Level2"/>
      <w:bookmarkStart w:id="10" w:name="_Toc23864_WPSOffice_Level2"/>
      <w:bookmarkStart w:id="11" w:name="_Toc19075_WPSOffice_Level2"/>
      <w:bookmarkStart w:id="12" w:name="_Toc19535_WPSOffice_Level2"/>
      <w:r>
        <w:rPr>
          <w:rFonts w:ascii="楷体" w:eastAsia="楷体" w:hAnsi="楷体" w:cs="楷体" w:hint="eastAsia"/>
          <w:sz w:val="32"/>
          <w:szCs w:val="32"/>
        </w:rPr>
        <w:t>（二）一般公共预算财政拨款支出决算结构情况</w:t>
      </w:r>
      <w:bookmarkEnd w:id="7"/>
      <w:bookmarkEnd w:id="8"/>
      <w:r>
        <w:rPr>
          <w:rFonts w:ascii="楷体" w:eastAsia="楷体" w:hAnsi="楷体" w:cs="楷体" w:hint="eastAsia"/>
          <w:sz w:val="32"/>
          <w:szCs w:val="32"/>
        </w:rPr>
        <w:t>。</w:t>
      </w:r>
      <w:bookmarkEnd w:id="9"/>
      <w:bookmarkEnd w:id="10"/>
      <w:bookmarkEnd w:id="11"/>
      <w:bookmarkEnd w:id="12"/>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2020年度一般公共预算财政拨款支出397.54万元，主要用于以下方面：</w:t>
      </w:r>
      <w:r>
        <w:rPr>
          <w:rFonts w:ascii="仿宋_GB2312" w:eastAsia="仿宋_GB2312" w:hAnsi="ˎ̥" w:hint="eastAsia"/>
          <w:bCs/>
          <w:sz w:val="32"/>
          <w:szCs w:val="32"/>
        </w:rPr>
        <w:t>社会保障和就业（类）</w:t>
      </w:r>
      <w:r>
        <w:rPr>
          <w:rFonts w:ascii="仿宋_GB2312" w:eastAsia="仿宋_GB2312" w:hAnsi="ˎ̥" w:hint="eastAsia"/>
          <w:sz w:val="32"/>
          <w:szCs w:val="32"/>
        </w:rPr>
        <w:t>支出363万元，占91.31%；住房保障（类）支出14.84万元，占3.73%；卫生健康（类）支出19.7万元，占4.96%；</w:t>
      </w:r>
    </w:p>
    <w:p w:rsidR="00A203C3" w:rsidRDefault="00E342BF">
      <w:pPr>
        <w:ind w:firstLineChars="100" w:firstLine="32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A203C3" w:rsidRDefault="00E342BF">
      <w:pPr>
        <w:ind w:firstLineChars="200" w:firstLine="640"/>
        <w:rPr>
          <w:rFonts w:ascii="楷体" w:eastAsia="楷体" w:hAnsi="楷体" w:cs="楷体"/>
          <w:sz w:val="32"/>
          <w:szCs w:val="32"/>
        </w:rPr>
      </w:pPr>
      <w:bookmarkStart w:id="13" w:name="_Toc9502_WPSOffice_Level2"/>
      <w:bookmarkStart w:id="14" w:name="_Toc22318_WPSOffice_Level2"/>
      <w:bookmarkStart w:id="15" w:name="_Toc25136_WPSOffice_Level2"/>
      <w:bookmarkStart w:id="16" w:name="_Toc15415_WPSOffice_Level2"/>
      <w:bookmarkStart w:id="17" w:name="_Toc29364_WPSOffice_Level2"/>
      <w:bookmarkStart w:id="18" w:name="_Toc21701_WPSOffice_Level2"/>
      <w:r>
        <w:rPr>
          <w:rFonts w:ascii="楷体" w:eastAsia="楷体" w:hAnsi="楷体" w:cs="楷体" w:hint="eastAsia"/>
          <w:sz w:val="32"/>
          <w:szCs w:val="32"/>
        </w:rPr>
        <w:t>（三）一般公共预算财政拨款支出决算具体情况。</w:t>
      </w:r>
      <w:bookmarkEnd w:id="13"/>
      <w:bookmarkEnd w:id="14"/>
      <w:bookmarkEnd w:id="15"/>
      <w:bookmarkEnd w:id="16"/>
      <w:bookmarkEnd w:id="17"/>
      <w:bookmarkEnd w:id="18"/>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2020年度一般公共预算财政拨款支出年初预算为</w:t>
      </w:r>
      <w:r>
        <w:rPr>
          <w:rFonts w:ascii="仿宋_GB2312" w:eastAsia="仿宋_GB2312" w:hAnsi="ˎ̥" w:hint="eastAsia"/>
          <w:sz w:val="32"/>
          <w:szCs w:val="32"/>
        </w:rPr>
        <w:lastRenderedPageBreak/>
        <w:t>395.31万元，支出决算为397.54万元，完成年初预算的100%。其中：</w:t>
      </w:r>
    </w:p>
    <w:p w:rsidR="00A203C3" w:rsidRDefault="00E342BF">
      <w:pPr>
        <w:ind w:firstLineChars="200" w:firstLine="640"/>
        <w:rPr>
          <w:rFonts w:ascii="仿宋_GB2312" w:eastAsia="仿宋_GB2312" w:hAnsi="ˎ̥"/>
          <w:b/>
          <w:sz w:val="32"/>
          <w:szCs w:val="32"/>
        </w:rPr>
      </w:pPr>
      <w:r>
        <w:rPr>
          <w:rFonts w:ascii="仿宋_GB2312" w:eastAsia="仿宋_GB2312" w:hAnsi="ˎ̥" w:hint="eastAsia"/>
          <w:sz w:val="32"/>
          <w:szCs w:val="32"/>
        </w:rPr>
        <w:t>1.</w:t>
      </w:r>
      <w:r>
        <w:rPr>
          <w:rFonts w:ascii="仿宋_GB2312" w:eastAsia="仿宋_GB2312" w:hAnsi="ˎ̥" w:hint="eastAsia"/>
          <w:b/>
          <w:sz w:val="32"/>
          <w:szCs w:val="32"/>
        </w:rPr>
        <w:t>社会保障和就业（类）</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年初预算为362.61万元，支出决算为363万元，完成年初预算的100.10%。</w:t>
      </w:r>
    </w:p>
    <w:p w:rsidR="00A203C3" w:rsidRDefault="00E342BF">
      <w:pPr>
        <w:numPr>
          <w:ilvl w:val="0"/>
          <w:numId w:val="4"/>
        </w:numPr>
        <w:ind w:firstLineChars="200" w:firstLine="643"/>
        <w:rPr>
          <w:rFonts w:ascii="仿宋_GB2312" w:eastAsia="仿宋_GB2312" w:hAnsi="ˎ̥"/>
          <w:sz w:val="32"/>
          <w:szCs w:val="32"/>
        </w:rPr>
      </w:pPr>
      <w:r>
        <w:rPr>
          <w:rFonts w:ascii="仿宋_GB2312" w:eastAsia="仿宋_GB2312" w:hAnsi="ˎ̥" w:hint="eastAsia"/>
          <w:b/>
          <w:bCs/>
          <w:sz w:val="32"/>
          <w:szCs w:val="32"/>
        </w:rPr>
        <w:t>住房保障（类）</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年初预算为12.28万元，支出决算为14.84万元，完成年初预算的121%。决算数大于预算数的主要原因是2019年在编在岗人员住房公积金基数上调导致决算数大于预算数。</w:t>
      </w:r>
    </w:p>
    <w:p w:rsidR="00A203C3" w:rsidRDefault="00E342BF">
      <w:pPr>
        <w:numPr>
          <w:ilvl w:val="0"/>
          <w:numId w:val="4"/>
        </w:numPr>
        <w:ind w:firstLineChars="200" w:firstLine="643"/>
        <w:rPr>
          <w:rFonts w:ascii="仿宋_GB2312" w:eastAsia="仿宋_GB2312" w:hAnsi="ˎ̥"/>
          <w:sz w:val="32"/>
          <w:szCs w:val="32"/>
        </w:rPr>
      </w:pPr>
      <w:r>
        <w:rPr>
          <w:rFonts w:ascii="仿宋_GB2312" w:eastAsia="仿宋_GB2312" w:hAnsi="ˎ̥" w:hint="eastAsia"/>
          <w:b/>
          <w:bCs/>
          <w:sz w:val="32"/>
          <w:szCs w:val="32"/>
        </w:rPr>
        <w:t>卫生健康（类）</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年初预算为20.42万元，支出决算为19.7万元，完成年初预算的96.47%。</w:t>
      </w:r>
    </w:p>
    <w:p w:rsidR="00A203C3" w:rsidRDefault="00E342BF">
      <w:pPr>
        <w:rPr>
          <w:rFonts w:ascii="仿宋_GB2312" w:eastAsia="仿宋_GB2312" w:hAnsi="ˎ̥"/>
          <w:sz w:val="32"/>
          <w:szCs w:val="32"/>
        </w:rPr>
      </w:pPr>
      <w:r>
        <w:rPr>
          <w:rFonts w:ascii="仿宋_GB2312" w:eastAsia="仿宋_GB2312" w:hAnsi="ˎ̥" w:hint="eastAsia"/>
          <w:sz w:val="32"/>
          <w:szCs w:val="32"/>
        </w:rPr>
        <w:t>（本部分支出决算数字可取自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05表，年初预算数可取自各部门（单位）年初预算大本，根据各部门（单位）实际支出涉及的支出功能分类项级科目填列）。</w:t>
      </w:r>
    </w:p>
    <w:p w:rsidR="00A203C3" w:rsidRDefault="00E342BF">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A203C3" w:rsidRDefault="00E342BF">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财政拨款基本支出万元，其中：人员经费193.3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w:t>
      </w:r>
      <w:r>
        <w:rPr>
          <w:rFonts w:ascii="仿宋_GB2312" w:eastAsia="仿宋_GB2312" w:hAnsi="ˎ̥" w:hint="eastAsia"/>
          <w:sz w:val="32"/>
          <w:szCs w:val="32"/>
        </w:rPr>
        <w:lastRenderedPageBreak/>
        <w:t>经费24.31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A203C3" w:rsidRDefault="00E342BF">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06表，各部门（单位）根据实际支出情况，选</w:t>
      </w:r>
      <w:proofErr w:type="gramStart"/>
      <w:r>
        <w:rPr>
          <w:rFonts w:ascii="仿宋_GB2312" w:eastAsia="仿宋_GB2312" w:hAnsi="ˎ̥" w:hint="eastAsia"/>
          <w:sz w:val="32"/>
          <w:szCs w:val="32"/>
        </w:rPr>
        <w:t>列相应</w:t>
      </w:r>
      <w:proofErr w:type="gramEnd"/>
      <w:r>
        <w:rPr>
          <w:rFonts w:ascii="仿宋_GB2312" w:eastAsia="仿宋_GB2312" w:hAnsi="ˎ̥" w:hint="eastAsia"/>
          <w:sz w:val="32"/>
          <w:szCs w:val="32"/>
        </w:rPr>
        <w:t>支出经济分类。）</w:t>
      </w:r>
    </w:p>
    <w:p w:rsidR="00A203C3" w:rsidRDefault="00E342BF">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A203C3" w:rsidRDefault="00E342BF">
      <w:pPr>
        <w:ind w:firstLineChars="200" w:firstLine="640"/>
        <w:rPr>
          <w:rFonts w:ascii="仿宋" w:eastAsia="仿宋" w:hAnsi="仿宋" w:cs="仿宋"/>
          <w:sz w:val="32"/>
          <w:szCs w:val="32"/>
        </w:rPr>
      </w:pPr>
      <w:r>
        <w:rPr>
          <w:rFonts w:ascii="仿宋" w:eastAsia="仿宋" w:hAnsi="仿宋" w:cs="仿宋" w:hint="eastAsia"/>
          <w:sz w:val="32"/>
          <w:szCs w:val="32"/>
        </w:rPr>
        <w:t>本单位无政府性基金预算财政拨款支出决算情况。</w:t>
      </w:r>
    </w:p>
    <w:p w:rsidR="00A203C3" w:rsidRDefault="00E342BF">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A203C3" w:rsidRDefault="00E342BF">
      <w:pPr>
        <w:ind w:firstLineChars="200" w:firstLine="640"/>
        <w:rPr>
          <w:rFonts w:ascii="仿宋" w:eastAsia="仿宋" w:hAnsi="仿宋" w:cs="仿宋"/>
          <w:sz w:val="32"/>
          <w:szCs w:val="32"/>
        </w:rPr>
      </w:pPr>
      <w:r>
        <w:rPr>
          <w:rFonts w:ascii="仿宋" w:eastAsia="仿宋" w:hAnsi="仿宋" w:cs="仿宋" w:hint="eastAsia"/>
          <w:sz w:val="32"/>
          <w:szCs w:val="32"/>
        </w:rPr>
        <w:t>本单位无国有资本经营预算财政拨款支出决算情况。</w:t>
      </w:r>
    </w:p>
    <w:p w:rsidR="00A203C3" w:rsidRDefault="00E342BF">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A203C3" w:rsidRDefault="00E342BF">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2020年度一般公共预算财政拨款“三公”经费支出预算为2.97万元，支出决算为0.91万元，完成预算的30.63%。</w:t>
      </w:r>
    </w:p>
    <w:p w:rsidR="00A203C3" w:rsidRDefault="00E342BF">
      <w:pPr>
        <w:rPr>
          <w:rFonts w:ascii="楷体" w:eastAsia="楷体" w:hAnsi="楷体" w:cs="楷体"/>
          <w:b/>
          <w:bCs/>
          <w:sz w:val="32"/>
          <w:szCs w:val="32"/>
        </w:rPr>
      </w:pPr>
      <w:r>
        <w:rPr>
          <w:rFonts w:ascii="楷体" w:eastAsia="楷体" w:hAnsi="楷体" w:cs="楷体" w:hint="eastAsia"/>
          <w:b/>
          <w:bCs/>
          <w:sz w:val="32"/>
          <w:szCs w:val="32"/>
        </w:rPr>
        <w:t>（二）一般公共预算财政拨款“三公”经费支出决算具体情况说明。</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2020年度一般公共预算财政拨款“三公”经费支出决算</w:t>
      </w:r>
      <w:r>
        <w:rPr>
          <w:rFonts w:ascii="仿宋_GB2312" w:eastAsia="仿宋_GB2312" w:hAnsi="ˎ̥" w:hint="eastAsia"/>
          <w:sz w:val="32"/>
          <w:szCs w:val="32"/>
        </w:rPr>
        <w:lastRenderedPageBreak/>
        <w:t>中，因公出国（境）费支出决算0万元，占0%；公务用车购置及运行费支出决算0.91万元，占30.63%；公务接待费支出决算0万元，占0%。具体情况如下：</w:t>
      </w:r>
    </w:p>
    <w:p w:rsidR="00A203C3" w:rsidRDefault="00E342BF">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w:t>
      </w:r>
    </w:p>
    <w:p w:rsidR="00A203C3" w:rsidRDefault="00E342BF">
      <w:pPr>
        <w:rPr>
          <w:rFonts w:ascii="仿宋_GB2312" w:eastAsia="仿宋_GB2312" w:hAnsi="ˎ̥"/>
          <w:sz w:val="32"/>
          <w:szCs w:val="32"/>
        </w:rPr>
      </w:pPr>
      <w:r>
        <w:rPr>
          <w:rFonts w:ascii="仿宋_GB2312" w:eastAsia="仿宋_GB2312" w:hAnsi="ˎ̥" w:hint="eastAsia"/>
          <w:b/>
          <w:sz w:val="32"/>
          <w:szCs w:val="32"/>
        </w:rPr>
        <w:t xml:space="preserve">    2.公务用车购置及运行费</w:t>
      </w:r>
      <w:r>
        <w:rPr>
          <w:rFonts w:ascii="仿宋_GB2312" w:eastAsia="仿宋_GB2312" w:hAnsi="ˎ̥" w:hint="eastAsia"/>
          <w:bCs/>
          <w:sz w:val="32"/>
          <w:szCs w:val="32"/>
        </w:rPr>
        <w:t>支出0.91</w:t>
      </w:r>
      <w:r>
        <w:rPr>
          <w:rFonts w:ascii="仿宋_GB2312" w:eastAsia="仿宋_GB2312" w:hAnsi="ˎ̥" w:hint="eastAsia"/>
          <w:sz w:val="32"/>
          <w:szCs w:val="32"/>
        </w:rPr>
        <w:t>万元。其中：</w:t>
      </w:r>
    </w:p>
    <w:p w:rsidR="00EB3484" w:rsidRDefault="00E342BF" w:rsidP="00884620">
      <w:pPr>
        <w:ind w:firstLineChars="200" w:firstLine="643"/>
        <w:rPr>
          <w:rFonts w:ascii="仿宋_GB2312" w:eastAsia="仿宋_GB2312" w:hAnsi="ˎ̥" w:hint="eastAsia"/>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0万元，全年购置公务用车0辆，年末公务用车保有量1辆。</w:t>
      </w:r>
    </w:p>
    <w:p w:rsidR="00884620" w:rsidRPr="00884620" w:rsidRDefault="00884620" w:rsidP="00EB3484">
      <w:pPr>
        <w:ind w:firstLineChars="200" w:firstLine="640"/>
        <w:rPr>
          <w:rFonts w:ascii="仿宋_GB2312" w:eastAsia="仿宋_GB2312" w:hAnsi="ˎ̥"/>
          <w:sz w:val="32"/>
          <w:szCs w:val="32"/>
        </w:rPr>
      </w:pPr>
      <w:r>
        <w:rPr>
          <w:rFonts w:ascii="仿宋_GB2312" w:eastAsia="仿宋_GB2312" w:hAnsi="ˎ̥" w:hint="eastAsia"/>
          <w:sz w:val="32"/>
          <w:szCs w:val="32"/>
        </w:rPr>
        <w:t>因公出国（镜）费支出决算比预算数增加（减少）0万元，增长（下降）0%。</w:t>
      </w:r>
      <w:r w:rsidR="00EB3484">
        <w:rPr>
          <w:rFonts w:ascii="仿宋_GB2312" w:eastAsia="仿宋_GB2312" w:hAnsi="ˎ̥" w:hint="eastAsia"/>
          <w:sz w:val="32"/>
          <w:szCs w:val="32"/>
        </w:rPr>
        <w:t>主要原因无。</w:t>
      </w:r>
    </w:p>
    <w:p w:rsidR="00A203C3" w:rsidRDefault="00E342BF">
      <w:pPr>
        <w:ind w:firstLineChars="200" w:firstLine="643"/>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支出0.91万元，主要用于公务车日常工作的油料费以及维修费,主要原因是2020年我中心公务用车主要用于车辆维修维护费用，公务车油料费均是2018年清退油费剩余的金额一直使用至2020年。</w:t>
      </w:r>
    </w:p>
    <w:p w:rsidR="00A203C3" w:rsidRDefault="00E342BF">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比预算数减少2.06万元，下降30.64%。主要原因是2020年我中心公务用车主要用于机要档案邮寄运行油费和车辆维修维护费用。</w:t>
      </w:r>
    </w:p>
    <w:p w:rsidR="00A203C3" w:rsidRDefault="00E342BF">
      <w:pPr>
        <w:rPr>
          <w:rFonts w:ascii="仿宋_GB2312" w:eastAsia="仿宋_GB2312" w:hAnsi="ˎ̥"/>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0万元，其中：</w:t>
      </w:r>
    </w:p>
    <w:p w:rsidR="00A203C3" w:rsidRDefault="00E342BF">
      <w:pPr>
        <w:ind w:firstLineChars="200" w:firstLine="643"/>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支出0万元，国内公务接待0批次，接待0人次。</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国（境）外接待费支出0万元，国（境）外公务接待0批次，接待0人次。</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lastRenderedPageBreak/>
        <w:t>（2020年度“三公”经费预算数、决算数可取自附件</w:t>
      </w:r>
      <w:proofErr w:type="gramStart"/>
      <w:r>
        <w:rPr>
          <w:rFonts w:ascii="仿宋_GB2312" w:eastAsia="仿宋_GB2312" w:hAnsi="ˎ̥" w:hint="eastAsia"/>
          <w:sz w:val="32"/>
          <w:szCs w:val="32"/>
        </w:rPr>
        <w:t>财决公开</w:t>
      </w:r>
      <w:proofErr w:type="gramEnd"/>
      <w:r>
        <w:rPr>
          <w:rFonts w:ascii="仿宋_GB2312" w:eastAsia="仿宋_GB2312" w:hAnsi="ˎ̥" w:hint="eastAsia"/>
          <w:sz w:val="32"/>
          <w:szCs w:val="32"/>
        </w:rPr>
        <w:t>09表，2020年的出国团组数、出国人次，公务用车购置数、公务用车保有量，接待团组数、接待人次可取自部门决算报表F03表《机构运行信息表》）。</w:t>
      </w:r>
    </w:p>
    <w:p w:rsidR="00A203C3" w:rsidRDefault="00E342BF">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A203C3" w:rsidRDefault="00E342BF">
      <w:pPr>
        <w:ind w:firstLine="640"/>
        <w:rPr>
          <w:rFonts w:ascii="楷体" w:eastAsia="楷体" w:hAnsi="楷体"/>
          <w:sz w:val="32"/>
          <w:szCs w:val="32"/>
        </w:rPr>
      </w:pPr>
      <w:r>
        <w:rPr>
          <w:rFonts w:ascii="楷体" w:eastAsia="楷体" w:hAnsi="楷体" w:hint="eastAsia"/>
          <w:sz w:val="32"/>
          <w:szCs w:val="32"/>
        </w:rPr>
        <w:t>本单位无政府性基金预算财政拨款“三公”经费支出决算情况。</w:t>
      </w:r>
    </w:p>
    <w:p w:rsidR="00A203C3" w:rsidRDefault="00E342BF">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A203C3" w:rsidRDefault="00E342BF">
      <w:pPr>
        <w:ind w:firstLine="640"/>
        <w:rPr>
          <w:rFonts w:ascii="楷体" w:eastAsia="楷体" w:hAnsi="楷体"/>
          <w:sz w:val="32"/>
          <w:szCs w:val="32"/>
        </w:rPr>
      </w:pPr>
      <w:r>
        <w:rPr>
          <w:rFonts w:ascii="楷体" w:eastAsia="楷体" w:hAnsi="楷体" w:hint="eastAsia"/>
          <w:sz w:val="32"/>
          <w:szCs w:val="32"/>
        </w:rPr>
        <w:t>本单位无国有资本经营预算财政拨款“三公”经费支出决算情况。</w:t>
      </w:r>
    </w:p>
    <w:p w:rsidR="00A203C3" w:rsidRDefault="00E342BF">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A203C3" w:rsidRDefault="00E342BF">
      <w:pPr>
        <w:spacing w:line="578" w:lineRule="exact"/>
        <w:ind w:firstLineChars="100" w:firstLine="321"/>
        <w:rPr>
          <w:rFonts w:ascii="楷体" w:eastAsia="楷体" w:hAnsi="楷体" w:cs="楷体"/>
          <w:b/>
          <w:sz w:val="32"/>
          <w:szCs w:val="32"/>
        </w:rPr>
      </w:pPr>
      <w:r>
        <w:rPr>
          <w:rFonts w:ascii="楷体" w:eastAsia="楷体" w:hAnsi="楷体" w:cs="楷体" w:hint="eastAsia"/>
          <w:b/>
          <w:sz w:val="32"/>
          <w:szCs w:val="32"/>
        </w:rPr>
        <w:t>（一）绩效管理工作开展情况。</w:t>
      </w:r>
    </w:p>
    <w:p w:rsidR="00A203C3" w:rsidRDefault="00E342BF">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根据财政预算管理要求，我单位组织对2020年度一般公共预算项目支出全面开展绩效自评。自评项目1个，共涉及资金153.5万元，自评覆盖率达到96.8%。</w:t>
      </w:r>
    </w:p>
    <w:p w:rsidR="00A203C3" w:rsidRDefault="00E342BF">
      <w:pPr>
        <w:spacing w:line="578" w:lineRule="exact"/>
        <w:ind w:firstLineChars="200" w:firstLine="640"/>
        <w:rPr>
          <w:rFonts w:ascii="仿宋_GB2312" w:eastAsia="仿宋_GB2312"/>
          <w:sz w:val="32"/>
          <w:szCs w:val="32"/>
        </w:rPr>
      </w:pPr>
      <w:r>
        <w:rPr>
          <w:rFonts w:ascii="仿宋_GB2312" w:eastAsia="仿宋_GB2312" w:hint="eastAsia"/>
          <w:sz w:val="32"/>
          <w:szCs w:val="32"/>
        </w:rPr>
        <w:t>共组织对“公共就业创业服务”、等1个项目开展了单位评价，涉及资金万元。从评价情况来看1个项目绩效自评都满意。</w:t>
      </w:r>
    </w:p>
    <w:p w:rsidR="00A203C3" w:rsidRDefault="00E342BF">
      <w:pPr>
        <w:ind w:firstLine="640"/>
        <w:rPr>
          <w:rFonts w:ascii="仿宋_GB2312" w:eastAsia="仿宋_GB2312"/>
          <w:sz w:val="32"/>
          <w:szCs w:val="32"/>
        </w:rPr>
      </w:pPr>
      <w:r>
        <w:rPr>
          <w:rFonts w:ascii="仿宋_GB2312" w:eastAsia="仿宋_GB2312" w:hint="eastAsia"/>
          <w:sz w:val="32"/>
          <w:szCs w:val="32"/>
        </w:rPr>
        <w:t>本单位未开展整体支出绩效评价。</w:t>
      </w:r>
    </w:p>
    <w:p w:rsidR="00A203C3" w:rsidRDefault="00E342BF">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w:t>
      </w:r>
      <w:proofErr w:type="gramStart"/>
      <w:r>
        <w:rPr>
          <w:rFonts w:ascii="楷体" w:eastAsia="楷体" w:hAnsi="楷体" w:cs="楷体" w:hint="eastAsia"/>
          <w:b/>
          <w:sz w:val="32"/>
          <w:szCs w:val="32"/>
        </w:rPr>
        <w:t>中项目</w:t>
      </w:r>
      <w:proofErr w:type="gramEnd"/>
      <w:r>
        <w:rPr>
          <w:rFonts w:ascii="楷体" w:eastAsia="楷体" w:hAnsi="楷体" w:cs="楷体" w:hint="eastAsia"/>
          <w:b/>
          <w:sz w:val="32"/>
          <w:szCs w:val="32"/>
        </w:rPr>
        <w:t>绩效自评结果。（无）</w:t>
      </w:r>
    </w:p>
    <w:p w:rsidR="00A203C3" w:rsidRDefault="00E342BF">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（三）财政评价项目绩效评价结果（无）。</w:t>
      </w:r>
    </w:p>
    <w:p w:rsidR="00A203C3" w:rsidRDefault="00E342BF">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（四）单位评价项目绩效评价结果。（如有则公开）</w:t>
      </w:r>
    </w:p>
    <w:p w:rsidR="00A203C3" w:rsidRDefault="00E342BF">
      <w:pPr>
        <w:spacing w:line="578" w:lineRule="exact"/>
        <w:ind w:firstLineChars="200" w:firstLine="640"/>
        <w:outlineLvl w:val="0"/>
        <w:rPr>
          <w:rFonts w:ascii="仿宋_GB2312" w:eastAsia="仿宋_GB2312"/>
          <w:sz w:val="32"/>
          <w:szCs w:val="32"/>
        </w:rPr>
      </w:pPr>
      <w:r>
        <w:rPr>
          <w:rFonts w:ascii="仿宋_GB2312" w:eastAsia="仿宋_GB2312" w:hint="eastAsia"/>
          <w:sz w:val="32"/>
          <w:szCs w:val="32"/>
        </w:rPr>
        <w:t>公共就业创业服务项目实施内容明确，项目依据充分、目标合理、程序规范，与政策要求高度相关。项目建设资金到位情况良好，项目支出符合项目预算批复用途；未发现截留、挤占、挪用、虚列支出等情况。项目实施依据的相关制度基本健全，项目实施管理较为规范。项目在规定的期限内按质按量的完成项目建设，项目预期效果已基本实现。项目绩效评价综合得分为96.8分，绩效级别评定为“优”。公共就业创业服务项目绩效自评报告在主管局（海口市人力资源和社会保障局）门户网站向社会公开，报告框架可参照《项目支出绩效评价管理办法》（财预</w:t>
      </w:r>
      <w:r>
        <w:rPr>
          <w:rFonts w:ascii="仿宋_GB2312" w:eastAsia="仿宋_GB2312" w:hAnsi="Times New Roman" w:hint="eastAsia"/>
          <w:sz w:val="32"/>
          <w:szCs w:val="32"/>
        </w:rPr>
        <w:t>〔2020〕</w:t>
      </w:r>
      <w:r>
        <w:rPr>
          <w:rFonts w:ascii="仿宋_GB2312" w:eastAsia="仿宋_GB2312" w:hint="eastAsia"/>
          <w:sz w:val="32"/>
          <w:szCs w:val="32"/>
        </w:rPr>
        <w:t>10号）中的《项目支出绩效评价报告（参考提纲）》。</w:t>
      </w:r>
    </w:p>
    <w:p w:rsidR="00A203C3" w:rsidRDefault="00E342BF">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A203C3" w:rsidRDefault="00E342BF">
      <w:pPr>
        <w:ind w:firstLineChars="200" w:firstLine="643"/>
        <w:rPr>
          <w:rFonts w:ascii="楷体" w:eastAsia="楷体" w:hAnsi="楷体" w:cs="楷体"/>
          <w:b/>
          <w:sz w:val="32"/>
          <w:szCs w:val="32"/>
        </w:rPr>
      </w:pPr>
      <w:bookmarkStart w:id="19" w:name="_Toc18325_WPSOffice_Level2"/>
      <w:bookmarkStart w:id="20" w:name="_Toc5978_WPSOffice_Level2"/>
      <w:bookmarkStart w:id="21" w:name="_Toc32639_WPSOffice_Level2"/>
      <w:bookmarkStart w:id="22" w:name="_Toc15565_WPSOffice_Level2"/>
      <w:bookmarkStart w:id="23" w:name="_Toc23598_WPSOffice_Level2"/>
      <w:bookmarkStart w:id="24" w:name="_Toc15262_WPSOffice_Level2"/>
      <w:r>
        <w:rPr>
          <w:rFonts w:ascii="楷体" w:eastAsia="楷体" w:hAnsi="楷体" w:cs="楷体" w:hint="eastAsia"/>
          <w:b/>
          <w:sz w:val="32"/>
          <w:szCs w:val="32"/>
        </w:rPr>
        <w:t>（一）机关运行经费支出情况。</w:t>
      </w:r>
      <w:bookmarkEnd w:id="19"/>
      <w:bookmarkEnd w:id="20"/>
      <w:bookmarkEnd w:id="21"/>
      <w:bookmarkEnd w:id="22"/>
      <w:bookmarkEnd w:id="23"/>
      <w:bookmarkEnd w:id="24"/>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本单位</w:t>
      </w:r>
      <w:proofErr w:type="gramStart"/>
      <w:r>
        <w:rPr>
          <w:rFonts w:ascii="仿宋_GB2312" w:eastAsia="仿宋_GB2312" w:hAnsi="ˎ̥" w:hint="eastAsia"/>
          <w:sz w:val="32"/>
          <w:szCs w:val="32"/>
        </w:rPr>
        <w:t>无机关</w:t>
      </w:r>
      <w:proofErr w:type="gramEnd"/>
      <w:r>
        <w:rPr>
          <w:rFonts w:ascii="仿宋_GB2312" w:eastAsia="仿宋_GB2312" w:hAnsi="ˎ̥" w:hint="eastAsia"/>
          <w:sz w:val="32"/>
          <w:szCs w:val="32"/>
        </w:rPr>
        <w:t>运行经费支出情况。</w:t>
      </w:r>
    </w:p>
    <w:p w:rsidR="00A203C3" w:rsidRDefault="00E342BF">
      <w:pPr>
        <w:ind w:firstLineChars="200" w:firstLine="643"/>
        <w:rPr>
          <w:rFonts w:ascii="楷体" w:eastAsia="楷体" w:hAnsi="楷体" w:cs="楷体"/>
          <w:b/>
          <w:sz w:val="32"/>
          <w:szCs w:val="32"/>
        </w:rPr>
      </w:pPr>
      <w:bookmarkStart w:id="25" w:name="_Toc23966_WPSOffice_Level2"/>
      <w:bookmarkStart w:id="26" w:name="_Toc13084_WPSOffice_Level2"/>
      <w:bookmarkStart w:id="27" w:name="_Toc3131_WPSOffice_Level2"/>
      <w:bookmarkStart w:id="28" w:name="_Toc25333_WPSOffice_Level2"/>
      <w:bookmarkStart w:id="29" w:name="_Toc32689_WPSOffice_Level2"/>
      <w:bookmarkStart w:id="30" w:name="_Toc30383_WPSOffice_Level2"/>
      <w:r>
        <w:rPr>
          <w:rFonts w:ascii="楷体" w:eastAsia="楷体" w:hAnsi="楷体" w:cs="楷体" w:hint="eastAsia"/>
          <w:b/>
          <w:sz w:val="32"/>
          <w:szCs w:val="32"/>
        </w:rPr>
        <w:t>（二）政府采购支出情况。</w:t>
      </w:r>
      <w:bookmarkEnd w:id="25"/>
      <w:bookmarkEnd w:id="26"/>
      <w:bookmarkEnd w:id="27"/>
      <w:bookmarkEnd w:id="28"/>
      <w:bookmarkEnd w:id="29"/>
      <w:bookmarkEnd w:id="30"/>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2020年度单位政府采购支出总额1.04万元，其中：政府采购货物支出1.04万元、政府采购工程支出0万元、政府采购服务支出0万元。授予中小企业合同金额1.04万元，政府采购支出总额100%，其中：授予小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（上述政府采购支出相关数字取自2020年度部门决算报表F03表《机构运行信息表》）</w:t>
      </w:r>
    </w:p>
    <w:p w:rsidR="00A203C3" w:rsidRDefault="00E342BF">
      <w:pPr>
        <w:ind w:firstLineChars="200" w:firstLine="643"/>
        <w:rPr>
          <w:rFonts w:ascii="楷体" w:eastAsia="楷体" w:hAnsi="楷体" w:cs="楷体"/>
          <w:b/>
          <w:sz w:val="32"/>
          <w:szCs w:val="32"/>
        </w:rPr>
      </w:pPr>
      <w:bookmarkStart w:id="31" w:name="_Toc527_WPSOffice_Level2"/>
      <w:bookmarkStart w:id="32" w:name="_Toc6016_WPSOffice_Level2"/>
      <w:bookmarkStart w:id="33" w:name="_Toc29584_WPSOffice_Level2"/>
      <w:bookmarkStart w:id="34" w:name="_Toc10902_WPSOffice_Level2"/>
      <w:bookmarkStart w:id="35" w:name="_Toc19989_WPSOffice_Level2"/>
      <w:bookmarkStart w:id="36" w:name="_Toc15129_WPSOffice_Level2"/>
      <w:r>
        <w:rPr>
          <w:rFonts w:ascii="楷体" w:eastAsia="楷体" w:hAnsi="楷体" w:cs="楷体" w:hint="eastAsia"/>
          <w:b/>
          <w:sz w:val="32"/>
          <w:szCs w:val="32"/>
        </w:rPr>
        <w:lastRenderedPageBreak/>
        <w:t>（三）国有资产占用情况。</w:t>
      </w:r>
      <w:bookmarkEnd w:id="31"/>
      <w:bookmarkEnd w:id="32"/>
      <w:bookmarkEnd w:id="33"/>
      <w:bookmarkEnd w:id="34"/>
      <w:bookmarkEnd w:id="35"/>
      <w:bookmarkEnd w:id="36"/>
    </w:p>
    <w:p w:rsidR="00A203C3" w:rsidRDefault="00E342BF">
      <w:pPr>
        <w:spacing w:line="578" w:lineRule="exact"/>
        <w:ind w:firstLineChars="200" w:firstLine="640"/>
        <w:rPr>
          <w:rFonts w:ascii="仿宋_GB2312" w:eastAsia="仿宋_GB2312" w:hAnsi="ˎ̥"/>
          <w:sz w:val="32"/>
          <w:szCs w:val="32"/>
          <w:highlight w:val="yellow"/>
        </w:rPr>
      </w:pPr>
      <w:r>
        <w:rPr>
          <w:rFonts w:ascii="仿宋_GB2312" w:eastAsia="仿宋_GB2312" w:hAnsi="ˎ̥" w:hint="eastAsia"/>
          <w:sz w:val="32"/>
          <w:szCs w:val="32"/>
        </w:rPr>
        <w:t>截至2020年12月31日，我中心与海口市人力资源开发局共用同一办公场所（位于海口市蓝天路南侧嘉华路2号二楼办公场地），产权归属于海口市人力资源开发局，建筑面积8200㎡，其中：一楼3700㎡，主要为求职招聘服务区；二楼4500㎡，主要窗口服务区。</w:t>
      </w:r>
    </w:p>
    <w:p w:rsidR="00A203C3" w:rsidRDefault="00E342B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共有车辆1辆，其中：从车辆种类说明：轿车1辆、越野0车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1辆。</w:t>
      </w:r>
    </w:p>
    <w:p w:rsidR="00A203C3" w:rsidRDefault="00E342B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单位价值50万元（含）以上通用设备0台（套），单价100万元（含）以上专用设备0台（套）。</w:t>
      </w:r>
    </w:p>
    <w:p w:rsidR="00A203C3" w:rsidRDefault="00E342B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年末在建工程0万元。</w:t>
      </w:r>
    </w:p>
    <w:p w:rsidR="00A203C3" w:rsidRDefault="00E342BF">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A203C3" w:rsidRDefault="00A203C3">
      <w:pPr>
        <w:ind w:firstLineChars="300" w:firstLine="960"/>
        <w:rPr>
          <w:rFonts w:ascii="仿宋_GB2312" w:eastAsia="仿宋_GB2312"/>
          <w:sz w:val="32"/>
          <w:szCs w:val="32"/>
        </w:rPr>
      </w:pPr>
    </w:p>
    <w:p w:rsidR="00A203C3" w:rsidRDefault="00E342BF">
      <w:pPr>
        <w:jc w:val="center"/>
        <w:rPr>
          <w:rFonts w:ascii="黑体" w:eastAsia="黑体" w:hAnsi="ˎ̥"/>
          <w:sz w:val="32"/>
          <w:szCs w:val="32"/>
        </w:rPr>
      </w:pPr>
      <w:bookmarkStart w:id="37" w:name="_Toc11039_WPSOffice_Level1"/>
      <w:bookmarkStart w:id="38" w:name="_Toc8808_WPSOffice_Level1"/>
      <w:bookmarkStart w:id="39" w:name="_Toc17580_WPSOffice_Level1"/>
      <w:bookmarkStart w:id="40" w:name="_Toc15425_WPSOffice_Level1"/>
      <w:bookmarkStart w:id="41" w:name="_Toc8874_WPSOffice_Level1"/>
      <w:bookmarkStart w:id="42" w:name="_Toc4398_WPSOffice_Level1"/>
      <w:r>
        <w:rPr>
          <w:rFonts w:ascii="黑体" w:eastAsia="黑体" w:hAnsi="ˎ̥" w:hint="eastAsia"/>
          <w:sz w:val="32"/>
          <w:szCs w:val="32"/>
        </w:rPr>
        <w:t>第四部分名词解释</w:t>
      </w:r>
      <w:bookmarkEnd w:id="37"/>
      <w:bookmarkEnd w:id="38"/>
      <w:bookmarkEnd w:id="39"/>
      <w:bookmarkEnd w:id="40"/>
      <w:bookmarkEnd w:id="41"/>
      <w:bookmarkEnd w:id="42"/>
    </w:p>
    <w:p w:rsidR="00A203C3" w:rsidRDefault="00A203C3">
      <w:pPr>
        <w:jc w:val="center"/>
        <w:rPr>
          <w:rFonts w:ascii="黑体" w:eastAsia="黑体" w:hAnsi="ˎ̥"/>
          <w:sz w:val="32"/>
          <w:szCs w:val="32"/>
        </w:rPr>
      </w:pP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w:t>
      </w:r>
      <w:r>
        <w:rPr>
          <w:rFonts w:ascii="仿宋_GB2312" w:eastAsia="仿宋_GB2312" w:hAnsi="ˎ̥" w:hint="eastAsia"/>
          <w:sz w:val="32"/>
          <w:szCs w:val="32"/>
        </w:rPr>
        <w:lastRenderedPageBreak/>
        <w:t>动取得的收入。</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四、其他收入：指除上述“财政拨款收入”“事业收入”“经营收入”等以外的收入。</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十一、经营支出：指事业单位在专业业务活动及其辅助活动之外开展非独立核算经营活动发生的支出。</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A203C3" w:rsidRDefault="00E342BF">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03C3" w:rsidRDefault="00E342BF">
      <w:pPr>
        <w:ind w:firstLine="645"/>
        <w:rPr>
          <w:rFonts w:ascii="仿宋_GB2312" w:eastAsia="仿宋_GB2312" w:hAnsi="黑体" w:cs="仿宋_GB2312"/>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sectPr w:rsidR="00A203C3" w:rsidSect="00A203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BF" w:rsidRDefault="00E342BF" w:rsidP="00E342BF">
      <w:r>
        <w:separator/>
      </w:r>
    </w:p>
  </w:endnote>
  <w:endnote w:type="continuationSeparator" w:id="1">
    <w:p w:rsidR="00E342BF" w:rsidRDefault="00E342BF" w:rsidP="00E34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BF" w:rsidRDefault="00E342BF" w:rsidP="00E342BF">
      <w:r>
        <w:separator/>
      </w:r>
    </w:p>
  </w:footnote>
  <w:footnote w:type="continuationSeparator" w:id="1">
    <w:p w:rsidR="00E342BF" w:rsidRDefault="00E342BF" w:rsidP="00E34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2CEA93"/>
    <w:multiLevelType w:val="singleLevel"/>
    <w:tmpl w:val="D12CEA93"/>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nsid w:val="2A5FAE08"/>
    <w:multiLevelType w:val="singleLevel"/>
    <w:tmpl w:val="2A5FAE08"/>
    <w:lvl w:ilvl="0">
      <w:start w:val="2"/>
      <w:numFmt w:val="decimal"/>
      <w:lvlText w:val="%1."/>
      <w:lvlJc w:val="left"/>
      <w:pPr>
        <w:tabs>
          <w:tab w:val="left" w:pos="312"/>
        </w:tabs>
      </w:pPr>
    </w:lvl>
  </w:abstractNum>
  <w:abstractNum w:abstractNumId="3">
    <w:nsid w:val="72109F8D"/>
    <w:multiLevelType w:val="singleLevel"/>
    <w:tmpl w:val="72109F8D"/>
    <w:lvl w:ilvl="0">
      <w:start w:val="7"/>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F91B44"/>
    <w:rsid w:val="00003088"/>
    <w:rsid w:val="000D06FC"/>
    <w:rsid w:val="000D78E0"/>
    <w:rsid w:val="001326C1"/>
    <w:rsid w:val="001502A1"/>
    <w:rsid w:val="00150D91"/>
    <w:rsid w:val="00173B57"/>
    <w:rsid w:val="001A7472"/>
    <w:rsid w:val="001D2B24"/>
    <w:rsid w:val="001F791C"/>
    <w:rsid w:val="002346B9"/>
    <w:rsid w:val="002530AD"/>
    <w:rsid w:val="002539FC"/>
    <w:rsid w:val="00283E6E"/>
    <w:rsid w:val="00293316"/>
    <w:rsid w:val="002956BC"/>
    <w:rsid w:val="002A59FA"/>
    <w:rsid w:val="002D2945"/>
    <w:rsid w:val="002E73B0"/>
    <w:rsid w:val="00343757"/>
    <w:rsid w:val="00377209"/>
    <w:rsid w:val="00377AD4"/>
    <w:rsid w:val="003847B6"/>
    <w:rsid w:val="004008AF"/>
    <w:rsid w:val="004313AB"/>
    <w:rsid w:val="004522A5"/>
    <w:rsid w:val="00474F12"/>
    <w:rsid w:val="004A1C49"/>
    <w:rsid w:val="00525863"/>
    <w:rsid w:val="00537B3F"/>
    <w:rsid w:val="00570742"/>
    <w:rsid w:val="0059423F"/>
    <w:rsid w:val="005C2065"/>
    <w:rsid w:val="00640059"/>
    <w:rsid w:val="006871F7"/>
    <w:rsid w:val="006B1FB3"/>
    <w:rsid w:val="006E2EF0"/>
    <w:rsid w:val="006E6E24"/>
    <w:rsid w:val="0075151D"/>
    <w:rsid w:val="007523E7"/>
    <w:rsid w:val="00786240"/>
    <w:rsid w:val="00793A7F"/>
    <w:rsid w:val="007B3322"/>
    <w:rsid w:val="007E4EAF"/>
    <w:rsid w:val="00884620"/>
    <w:rsid w:val="008850C4"/>
    <w:rsid w:val="008C4A1F"/>
    <w:rsid w:val="008D6470"/>
    <w:rsid w:val="009262C2"/>
    <w:rsid w:val="00926751"/>
    <w:rsid w:val="00944ACB"/>
    <w:rsid w:val="00947538"/>
    <w:rsid w:val="009616E6"/>
    <w:rsid w:val="009846A5"/>
    <w:rsid w:val="00995DA5"/>
    <w:rsid w:val="009A4F6A"/>
    <w:rsid w:val="009A7673"/>
    <w:rsid w:val="009F52FB"/>
    <w:rsid w:val="00A203C3"/>
    <w:rsid w:val="00A31DCF"/>
    <w:rsid w:val="00A545A0"/>
    <w:rsid w:val="00AE40A6"/>
    <w:rsid w:val="00B13CBC"/>
    <w:rsid w:val="00B345F9"/>
    <w:rsid w:val="00B7163F"/>
    <w:rsid w:val="00BD1806"/>
    <w:rsid w:val="00C07C92"/>
    <w:rsid w:val="00C55B8D"/>
    <w:rsid w:val="00C665F5"/>
    <w:rsid w:val="00C91D51"/>
    <w:rsid w:val="00CA7DBE"/>
    <w:rsid w:val="00CD7757"/>
    <w:rsid w:val="00DC5A01"/>
    <w:rsid w:val="00DC65EF"/>
    <w:rsid w:val="00DD3FD8"/>
    <w:rsid w:val="00E3389C"/>
    <w:rsid w:val="00E342BF"/>
    <w:rsid w:val="00E50DE5"/>
    <w:rsid w:val="00E73A4A"/>
    <w:rsid w:val="00EB3484"/>
    <w:rsid w:val="00ED50D0"/>
    <w:rsid w:val="00ED6580"/>
    <w:rsid w:val="00F91B44"/>
    <w:rsid w:val="00FB0A31"/>
    <w:rsid w:val="00FB5865"/>
    <w:rsid w:val="00FF3698"/>
    <w:rsid w:val="016B356D"/>
    <w:rsid w:val="018D5544"/>
    <w:rsid w:val="02F10AAC"/>
    <w:rsid w:val="03626447"/>
    <w:rsid w:val="03A65FFB"/>
    <w:rsid w:val="03B977FC"/>
    <w:rsid w:val="04150DB2"/>
    <w:rsid w:val="05BC74CA"/>
    <w:rsid w:val="067D04EC"/>
    <w:rsid w:val="07642604"/>
    <w:rsid w:val="079428DA"/>
    <w:rsid w:val="08134E4A"/>
    <w:rsid w:val="09FE4AC3"/>
    <w:rsid w:val="0A33522F"/>
    <w:rsid w:val="0A3A75C6"/>
    <w:rsid w:val="0BAB499B"/>
    <w:rsid w:val="0C0B0D84"/>
    <w:rsid w:val="0D7C3BCB"/>
    <w:rsid w:val="0F605D47"/>
    <w:rsid w:val="1038216F"/>
    <w:rsid w:val="103F5539"/>
    <w:rsid w:val="127F145A"/>
    <w:rsid w:val="14B50B35"/>
    <w:rsid w:val="14D3660A"/>
    <w:rsid w:val="1536415A"/>
    <w:rsid w:val="16987B10"/>
    <w:rsid w:val="16AA7884"/>
    <w:rsid w:val="16B85BB2"/>
    <w:rsid w:val="16E04732"/>
    <w:rsid w:val="16E05ADB"/>
    <w:rsid w:val="171A5F77"/>
    <w:rsid w:val="198F2887"/>
    <w:rsid w:val="1B166341"/>
    <w:rsid w:val="1B573966"/>
    <w:rsid w:val="1BBD5467"/>
    <w:rsid w:val="1BFE2004"/>
    <w:rsid w:val="1C0A6B5B"/>
    <w:rsid w:val="1C74769C"/>
    <w:rsid w:val="1D032196"/>
    <w:rsid w:val="1F333865"/>
    <w:rsid w:val="1F520CE7"/>
    <w:rsid w:val="1FB135D7"/>
    <w:rsid w:val="206E1CF6"/>
    <w:rsid w:val="21CC2A66"/>
    <w:rsid w:val="232F6203"/>
    <w:rsid w:val="2407796E"/>
    <w:rsid w:val="24C33B28"/>
    <w:rsid w:val="25DB2A20"/>
    <w:rsid w:val="25F5478A"/>
    <w:rsid w:val="25FF0FB5"/>
    <w:rsid w:val="28224E6C"/>
    <w:rsid w:val="28687C25"/>
    <w:rsid w:val="28811CFB"/>
    <w:rsid w:val="2D176D8F"/>
    <w:rsid w:val="2DF91189"/>
    <w:rsid w:val="2EAF7D29"/>
    <w:rsid w:val="2FC82A6F"/>
    <w:rsid w:val="349152E4"/>
    <w:rsid w:val="35397AB3"/>
    <w:rsid w:val="35547E53"/>
    <w:rsid w:val="37004B2C"/>
    <w:rsid w:val="381C089E"/>
    <w:rsid w:val="38532E04"/>
    <w:rsid w:val="38DA4CAB"/>
    <w:rsid w:val="3B8C49E3"/>
    <w:rsid w:val="3C571919"/>
    <w:rsid w:val="3D20573B"/>
    <w:rsid w:val="3D5462EC"/>
    <w:rsid w:val="3E550309"/>
    <w:rsid w:val="3E566ADD"/>
    <w:rsid w:val="3E7732B5"/>
    <w:rsid w:val="40600CCA"/>
    <w:rsid w:val="409E479C"/>
    <w:rsid w:val="427A592E"/>
    <w:rsid w:val="437A2AE6"/>
    <w:rsid w:val="44F8163E"/>
    <w:rsid w:val="45054E1A"/>
    <w:rsid w:val="45972DFA"/>
    <w:rsid w:val="459E0470"/>
    <w:rsid w:val="45D10CBA"/>
    <w:rsid w:val="46A735A6"/>
    <w:rsid w:val="473F08AB"/>
    <w:rsid w:val="475850E4"/>
    <w:rsid w:val="478D5718"/>
    <w:rsid w:val="47ED4E87"/>
    <w:rsid w:val="48080CDB"/>
    <w:rsid w:val="48DB7D1E"/>
    <w:rsid w:val="4A2906F9"/>
    <w:rsid w:val="4ABC247D"/>
    <w:rsid w:val="4B4C0987"/>
    <w:rsid w:val="4B8B2B9A"/>
    <w:rsid w:val="4D070EAC"/>
    <w:rsid w:val="4E0C3D4E"/>
    <w:rsid w:val="4EC12CA6"/>
    <w:rsid w:val="50120EB9"/>
    <w:rsid w:val="50C274C6"/>
    <w:rsid w:val="514F5406"/>
    <w:rsid w:val="51865570"/>
    <w:rsid w:val="52124468"/>
    <w:rsid w:val="52936DC0"/>
    <w:rsid w:val="5338466F"/>
    <w:rsid w:val="540C5B86"/>
    <w:rsid w:val="56D04E74"/>
    <w:rsid w:val="57747D2F"/>
    <w:rsid w:val="58C65814"/>
    <w:rsid w:val="5A330897"/>
    <w:rsid w:val="5B3818C8"/>
    <w:rsid w:val="5B4263BA"/>
    <w:rsid w:val="5C0F0DA1"/>
    <w:rsid w:val="5C2E21B9"/>
    <w:rsid w:val="5C6D5E4C"/>
    <w:rsid w:val="5FD04F6D"/>
    <w:rsid w:val="5FDF0E0B"/>
    <w:rsid w:val="603A28B4"/>
    <w:rsid w:val="60DF37C9"/>
    <w:rsid w:val="63CA579E"/>
    <w:rsid w:val="640036D4"/>
    <w:rsid w:val="65BF3929"/>
    <w:rsid w:val="66873F89"/>
    <w:rsid w:val="67434844"/>
    <w:rsid w:val="67800477"/>
    <w:rsid w:val="699427A1"/>
    <w:rsid w:val="69D53672"/>
    <w:rsid w:val="6AF93F46"/>
    <w:rsid w:val="6C0F4CE9"/>
    <w:rsid w:val="6E8C1B1B"/>
    <w:rsid w:val="6ECE096C"/>
    <w:rsid w:val="6F081466"/>
    <w:rsid w:val="71625BD8"/>
    <w:rsid w:val="72B51977"/>
    <w:rsid w:val="74C72568"/>
    <w:rsid w:val="7505794C"/>
    <w:rsid w:val="75C65513"/>
    <w:rsid w:val="77DC09DE"/>
    <w:rsid w:val="790564B5"/>
    <w:rsid w:val="79DF3CE0"/>
    <w:rsid w:val="7B422B59"/>
    <w:rsid w:val="7BC73A12"/>
    <w:rsid w:val="7C247B28"/>
    <w:rsid w:val="7C2E2740"/>
    <w:rsid w:val="7C506CA7"/>
    <w:rsid w:val="7DFE78B8"/>
    <w:rsid w:val="7E3B1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203C3"/>
    <w:pPr>
      <w:widowControl w:val="0"/>
      <w:jc w:val="both"/>
    </w:pPr>
    <w:rPr>
      <w:rFonts w:ascii="Calibri" w:eastAsia="宋体" w:hAnsi="Calibri" w:cs="Times New Roman"/>
      <w:kern w:val="2"/>
      <w:sz w:val="21"/>
      <w:szCs w:val="22"/>
    </w:rPr>
  </w:style>
  <w:style w:type="paragraph" w:styleId="2">
    <w:name w:val="heading 2"/>
    <w:basedOn w:val="a"/>
    <w:next w:val="a"/>
    <w:qFormat/>
    <w:locked/>
    <w:rsid w:val="00A203C3"/>
    <w:pPr>
      <w:keepNext/>
      <w:keepLines/>
      <w:numPr>
        <w:ilvl w:val="1"/>
        <w:numId w:val="1"/>
      </w:numPr>
      <w:spacing w:before="260" w:after="260" w:line="400" w:lineRule="exact"/>
      <w:ind w:left="17"/>
      <w:outlineLvl w:val="1"/>
    </w:pPr>
    <w:rPr>
      <w:rFonts w:ascii="Arial" w:eastAsia="仿宋" w:hAnsi="Arial"/>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203C3"/>
    <w:rPr>
      <w:sz w:val="18"/>
      <w:szCs w:val="18"/>
    </w:rPr>
  </w:style>
  <w:style w:type="paragraph" w:styleId="a4">
    <w:name w:val="footer"/>
    <w:basedOn w:val="a"/>
    <w:link w:val="Char0"/>
    <w:uiPriority w:val="99"/>
    <w:qFormat/>
    <w:rsid w:val="00A203C3"/>
    <w:pPr>
      <w:tabs>
        <w:tab w:val="center" w:pos="4153"/>
        <w:tab w:val="right" w:pos="8306"/>
      </w:tabs>
      <w:snapToGrid w:val="0"/>
      <w:jc w:val="left"/>
    </w:pPr>
    <w:rPr>
      <w:sz w:val="18"/>
      <w:szCs w:val="18"/>
    </w:rPr>
  </w:style>
  <w:style w:type="paragraph" w:styleId="a5">
    <w:name w:val="header"/>
    <w:basedOn w:val="a"/>
    <w:link w:val="Char1"/>
    <w:uiPriority w:val="99"/>
    <w:qFormat/>
    <w:rsid w:val="00A203C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A203C3"/>
  </w:style>
  <w:style w:type="paragraph" w:styleId="20">
    <w:name w:val="toc 2"/>
    <w:basedOn w:val="a"/>
    <w:next w:val="a"/>
    <w:uiPriority w:val="99"/>
    <w:qFormat/>
    <w:rsid w:val="00A203C3"/>
    <w:pPr>
      <w:ind w:leftChars="200" w:left="420"/>
    </w:pPr>
  </w:style>
  <w:style w:type="paragraph" w:styleId="a6">
    <w:name w:val="Normal (Web)"/>
    <w:basedOn w:val="a"/>
    <w:qFormat/>
    <w:rsid w:val="00A203C3"/>
    <w:pPr>
      <w:widowControl/>
      <w:spacing w:before="100" w:beforeAutospacing="1" w:after="100" w:afterAutospacing="1"/>
      <w:jc w:val="left"/>
    </w:pPr>
    <w:rPr>
      <w:rFonts w:ascii="宋体" w:eastAsia="仿宋_GB2312" w:hAnsi="宋体" w:cs="宋体"/>
      <w:kern w:val="0"/>
      <w:sz w:val="24"/>
    </w:rPr>
  </w:style>
  <w:style w:type="character" w:styleId="a7">
    <w:name w:val="page number"/>
    <w:basedOn w:val="a0"/>
    <w:qFormat/>
    <w:rsid w:val="00A203C3"/>
  </w:style>
  <w:style w:type="character" w:customStyle="1" w:styleId="Char0">
    <w:name w:val="页脚 Char"/>
    <w:basedOn w:val="a0"/>
    <w:link w:val="a4"/>
    <w:uiPriority w:val="99"/>
    <w:semiHidden/>
    <w:qFormat/>
    <w:locked/>
    <w:rsid w:val="00A203C3"/>
    <w:rPr>
      <w:rFonts w:cs="Times New Roman"/>
      <w:sz w:val="18"/>
      <w:szCs w:val="18"/>
    </w:rPr>
  </w:style>
  <w:style w:type="character" w:customStyle="1" w:styleId="Char1">
    <w:name w:val="页眉 Char"/>
    <w:basedOn w:val="a0"/>
    <w:link w:val="a5"/>
    <w:uiPriority w:val="99"/>
    <w:semiHidden/>
    <w:qFormat/>
    <w:locked/>
    <w:rsid w:val="00A203C3"/>
    <w:rPr>
      <w:rFonts w:cs="Times New Roman"/>
      <w:sz w:val="18"/>
      <w:szCs w:val="18"/>
    </w:rPr>
  </w:style>
  <w:style w:type="paragraph" w:customStyle="1" w:styleId="ListParagraph1">
    <w:name w:val="List Paragraph1"/>
    <w:basedOn w:val="a"/>
    <w:uiPriority w:val="99"/>
    <w:qFormat/>
    <w:rsid w:val="00A203C3"/>
    <w:pPr>
      <w:ind w:firstLineChars="200" w:firstLine="420"/>
    </w:pPr>
  </w:style>
  <w:style w:type="paragraph" w:customStyle="1" w:styleId="10">
    <w:name w:val="列出段落1"/>
    <w:basedOn w:val="a"/>
    <w:uiPriority w:val="34"/>
    <w:qFormat/>
    <w:rsid w:val="00A203C3"/>
    <w:pPr>
      <w:ind w:firstLineChars="200" w:firstLine="420"/>
    </w:pPr>
  </w:style>
  <w:style w:type="character" w:customStyle="1" w:styleId="font71">
    <w:name w:val="font71"/>
    <w:basedOn w:val="a0"/>
    <w:qFormat/>
    <w:rsid w:val="00A203C3"/>
    <w:rPr>
      <w:rFonts w:ascii="Times New Roman" w:eastAsia="楷体_GB2312" w:cs="楷体_GB2312" w:hint="eastAsia"/>
      <w:sz w:val="28"/>
      <w:szCs w:val="24"/>
    </w:rPr>
  </w:style>
  <w:style w:type="paragraph" w:customStyle="1" w:styleId="WPSOffice1">
    <w:name w:val="WPSOffice手动目录 1"/>
    <w:qFormat/>
    <w:rsid w:val="00A203C3"/>
    <w:rPr>
      <w:rFonts w:ascii="Times New Roman" w:eastAsia="宋体" w:hAnsi="Times New Roman" w:cs="Times New Roman"/>
    </w:rPr>
  </w:style>
  <w:style w:type="paragraph" w:customStyle="1" w:styleId="WPSOffice2">
    <w:name w:val="WPSOffice手动目录 2"/>
    <w:qFormat/>
    <w:rsid w:val="00A203C3"/>
    <w:pPr>
      <w:ind w:leftChars="200" w:left="200"/>
    </w:pPr>
    <w:rPr>
      <w:rFonts w:ascii="Times New Roman" w:eastAsia="宋体" w:hAnsi="Times New Roman" w:cs="Times New Roman"/>
    </w:rPr>
  </w:style>
  <w:style w:type="paragraph" w:customStyle="1" w:styleId="1CharCharChar">
    <w:name w:val="正文1 Char Char Char"/>
    <w:basedOn w:val="a"/>
    <w:qFormat/>
    <w:rsid w:val="00A203C3"/>
    <w:pPr>
      <w:spacing w:line="360" w:lineRule="auto"/>
      <w:ind w:firstLineChars="200" w:firstLine="200"/>
    </w:pPr>
  </w:style>
  <w:style w:type="character" w:customStyle="1" w:styleId="Char">
    <w:name w:val="批注框文本 Char"/>
    <w:basedOn w:val="a0"/>
    <w:link w:val="a3"/>
    <w:uiPriority w:val="99"/>
    <w:semiHidden/>
    <w:qFormat/>
    <w:rsid w:val="00A203C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5721</Words>
  <Characters>1946</Characters>
  <Application>Microsoft Office Word</Application>
  <DocSecurity>0</DocSecurity>
  <Lines>16</Lines>
  <Paragraphs>15</Paragraphs>
  <ScaleCrop>false</ScaleCrop>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2021年海口市农村社会养老保险局预算</dc:title>
  <dc:creator>null,null,总收发</dc:creator>
  <cp:lastModifiedBy>1</cp:lastModifiedBy>
  <cp:revision>35</cp:revision>
  <cp:lastPrinted>2021-10-19T02:31:00Z</cp:lastPrinted>
  <dcterms:created xsi:type="dcterms:W3CDTF">2017-02-03T07:31:00Z</dcterms:created>
  <dcterms:modified xsi:type="dcterms:W3CDTF">2022-09-06T00:50:00Z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3384944B7FAD46A192BEA0565CDCB5C7</vt:lpwstr>
  </property>
</Properties>
</file>